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37" w:rsidRDefault="00160FD1"/>
    <w:p w:rsidR="005752CF" w:rsidRDefault="005752CF"/>
    <w:p w:rsidR="007F7FC7" w:rsidRDefault="005752CF" w:rsidP="005752CF">
      <w:pPr>
        <w:pStyle w:val="NormalWeb"/>
        <w:rPr>
          <w:color w:val="000000"/>
          <w:sz w:val="27"/>
          <w:szCs w:val="27"/>
        </w:rPr>
      </w:pPr>
      <w:r>
        <w:rPr>
          <w:color w:val="000000"/>
          <w:sz w:val="27"/>
          <w:szCs w:val="27"/>
        </w:rPr>
        <w:t xml:space="preserve">“Vulnérabilité sociale et résilience : cas des personnes déplacées internes de la crise anglophone dans la ville de Dschang”. </w:t>
      </w:r>
    </w:p>
    <w:p w:rsidR="005752CF" w:rsidRDefault="005752CF" w:rsidP="005752CF">
      <w:pPr>
        <w:pStyle w:val="NormalWeb"/>
        <w:rPr>
          <w:color w:val="000000"/>
          <w:sz w:val="27"/>
          <w:szCs w:val="27"/>
        </w:rPr>
      </w:pPr>
      <w:r>
        <w:rPr>
          <w:color w:val="000000"/>
          <w:sz w:val="27"/>
          <w:szCs w:val="27"/>
        </w:rPr>
        <w:t>Résumé</w:t>
      </w:r>
    </w:p>
    <w:p w:rsidR="005752CF" w:rsidRDefault="005752CF" w:rsidP="005752CF">
      <w:pPr>
        <w:pStyle w:val="NormalWeb"/>
        <w:rPr>
          <w:color w:val="000000"/>
          <w:sz w:val="27"/>
          <w:szCs w:val="27"/>
        </w:rPr>
      </w:pPr>
      <w:r>
        <w:rPr>
          <w:color w:val="000000"/>
          <w:sz w:val="27"/>
          <w:szCs w:val="27"/>
        </w:rPr>
        <w:t>Ce mémoire a pour objectif d’analyser les processus de vulnérabilité et de résilience des personnes déplacées internes (PDI) de la crise anglophone au Cameroun, qui vivent dans la ville de Dschang. Nous avons mené une recherche qualitative basée sur une étude de cas, en utilisant des entretiens semi-directifs et une échelle d’auto-évaluation de la résilience. Nous avons obtenu les résultats suivants : (1) La vulnérabilité des PDI est liée à plusieurs facteurs, tels que le manque de ressources matérielles et financières, l’insécurité juridique et physique, la discrimination et le rejet social, le traumatisme et le stress post-traumatique, et la perte d’identité et d’appartenance. (2) La résilience des PDI repose sur des facteurs tels que le soutien familial et communautaire, l’engagement religieux et associatif, l’apprentissage du français et l’accès à l’éducation et à l’emploi. (3) La vulnérabilité et la résilience des PDI ont des effets sur leur bien-être psychologique, leur santé physique, leur intégration sociale et leur participation citoyenne. Ces résultats nous permettent de répondre à la question suivante : Comment les PDI font face à leur situation de vulnérabilité sociale et développent des stratégies de résilience pour s’adapter à leur nouvel environnement ? Nous proposons des recommandations pour la pratique et pour la recherche future, en tenant compte des limites et des pistes d’amélioration de notre recherche.</w:t>
      </w:r>
    </w:p>
    <w:p w:rsidR="005752CF" w:rsidRDefault="005752CF" w:rsidP="005752CF">
      <w:pPr>
        <w:pStyle w:val="NormalWeb"/>
        <w:rPr>
          <w:color w:val="000000"/>
          <w:sz w:val="27"/>
          <w:szCs w:val="27"/>
        </w:rPr>
      </w:pPr>
      <w:r>
        <w:rPr>
          <w:color w:val="000000"/>
          <w:sz w:val="27"/>
          <w:szCs w:val="27"/>
        </w:rPr>
        <w:t>Abstract</w:t>
      </w:r>
    </w:p>
    <w:p w:rsidR="005752CF" w:rsidRPr="005752CF" w:rsidRDefault="005752CF" w:rsidP="005752CF">
      <w:pPr>
        <w:pStyle w:val="NormalWeb"/>
        <w:rPr>
          <w:color w:val="000000"/>
          <w:sz w:val="27"/>
          <w:szCs w:val="27"/>
          <w:lang w:val="en-US"/>
        </w:rPr>
      </w:pPr>
      <w:r w:rsidRPr="005752CF">
        <w:rPr>
          <w:color w:val="000000"/>
          <w:sz w:val="27"/>
          <w:szCs w:val="27"/>
          <w:lang w:val="en-US"/>
        </w:rPr>
        <w:t xml:space="preserve">This dissertation aims to analyze the processes of vulnerability and resilience of internally displaced persons (IDPs) from the Anglophone crisis in Cameroon, who live in the city of </w:t>
      </w:r>
      <w:proofErr w:type="spellStart"/>
      <w:r w:rsidRPr="005752CF">
        <w:rPr>
          <w:color w:val="000000"/>
          <w:sz w:val="27"/>
          <w:szCs w:val="27"/>
          <w:lang w:val="en-US"/>
        </w:rPr>
        <w:t>Dschang</w:t>
      </w:r>
      <w:proofErr w:type="spellEnd"/>
      <w:r w:rsidRPr="005752CF">
        <w:rPr>
          <w:color w:val="000000"/>
          <w:sz w:val="27"/>
          <w:szCs w:val="27"/>
          <w:lang w:val="en-US"/>
        </w:rPr>
        <w:t xml:space="preserve">. We conducted a qualitative research based on a case study, using semi-structured interviews and a self-assessment scale of resilience. We obtained the following results: (1) </w:t>
      </w:r>
      <w:proofErr w:type="gramStart"/>
      <w:r w:rsidRPr="005752CF">
        <w:rPr>
          <w:color w:val="000000"/>
          <w:sz w:val="27"/>
          <w:szCs w:val="27"/>
          <w:lang w:val="en-US"/>
        </w:rPr>
        <w:t>The</w:t>
      </w:r>
      <w:proofErr w:type="gramEnd"/>
      <w:r w:rsidRPr="005752CF">
        <w:rPr>
          <w:color w:val="000000"/>
          <w:sz w:val="27"/>
          <w:szCs w:val="27"/>
          <w:lang w:val="en-US"/>
        </w:rPr>
        <w:t xml:space="preserve"> vulnerability of IDPs is related to several factors, such as the lack of material and financial resources, the legal and physical insecurity, the discrimination and social rejection, the trauma and post-traumatic stress, and the loss of identity and belonging. (2) The resilience of IDPs relies on factors such as the family and community support, the religious and associative engagement, the learning of French and the access to education and employment. (3) The vulnerability and resilience of IDPs have effects on their psychological well-being, their physical health, their social integration and their civic participation. These results allow us to answer the following question: How do IDPs cope with their situation of social vulnerability and develop resilience strategies to adapt to their new environment? We propose recommendations for </w:t>
      </w:r>
      <w:r w:rsidRPr="005752CF">
        <w:rPr>
          <w:color w:val="000000"/>
          <w:sz w:val="27"/>
          <w:szCs w:val="27"/>
          <w:lang w:val="en-US"/>
        </w:rPr>
        <w:lastRenderedPageBreak/>
        <w:t>practice and for future research, taking into account the limitations and areas for improvement of our research.</w:t>
      </w:r>
    </w:p>
    <w:p w:rsidR="005752CF" w:rsidRDefault="005752CF">
      <w:pPr>
        <w:rPr>
          <w:lang w:val="en-US"/>
        </w:rPr>
      </w:pPr>
    </w:p>
    <w:p w:rsidR="005752CF" w:rsidRPr="005752CF" w:rsidRDefault="005752CF">
      <w:r w:rsidRPr="005752CF">
        <w:t>INTRDUCTION:</w:t>
      </w:r>
    </w:p>
    <w:p w:rsidR="005752CF" w:rsidRDefault="005752CF" w:rsidP="005752CF">
      <w:pPr>
        <w:pStyle w:val="NormalWeb"/>
        <w:rPr>
          <w:color w:val="000000"/>
          <w:sz w:val="27"/>
          <w:szCs w:val="27"/>
        </w:rPr>
      </w:pPr>
      <w:r>
        <w:rPr>
          <w:color w:val="000000"/>
          <w:sz w:val="27"/>
          <w:szCs w:val="27"/>
        </w:rPr>
        <w:t>D’accord, je vais vous renvoyer ce que je venais de vous envoyer. Voici un exemple d’introduction que vous pourriez rédiger :</w:t>
      </w:r>
    </w:p>
    <w:p w:rsidR="005752CF" w:rsidRDefault="005752CF" w:rsidP="005752CF">
      <w:pPr>
        <w:pStyle w:val="NormalWeb"/>
        <w:rPr>
          <w:color w:val="000000"/>
          <w:sz w:val="27"/>
          <w:szCs w:val="27"/>
        </w:rPr>
      </w:pPr>
      <w:r>
        <w:rPr>
          <w:color w:val="000000"/>
          <w:sz w:val="27"/>
          <w:szCs w:val="27"/>
        </w:rPr>
        <w:t>Introduction</w:t>
      </w:r>
    </w:p>
    <w:p w:rsidR="005752CF" w:rsidRDefault="005752CF" w:rsidP="005752CF">
      <w:pPr>
        <w:pStyle w:val="NormalWeb"/>
        <w:rPr>
          <w:color w:val="000000"/>
          <w:sz w:val="27"/>
          <w:szCs w:val="27"/>
        </w:rPr>
      </w:pPr>
      <w:r>
        <w:rPr>
          <w:color w:val="000000"/>
          <w:sz w:val="27"/>
          <w:szCs w:val="27"/>
        </w:rPr>
        <w:t xml:space="preserve">La crise anglophone au Cameroun est un conflit socio-politique qui oppose depuis 2016 les séparatistes anglophones, qui revendiquent l’indépendance des régions du Nord-Ouest et du Sud-Ouest, aux forces gouvernementales, qui défendent l’unité nationale. Ce conflit a entraîné des violences, des violations des droits de l’homme et des déplacements forcés de population. Selon le </w:t>
      </w:r>
      <w:proofErr w:type="spellStart"/>
      <w:r>
        <w:rPr>
          <w:color w:val="000000"/>
          <w:sz w:val="27"/>
          <w:szCs w:val="27"/>
        </w:rPr>
        <w:t>Haut Commissariat</w:t>
      </w:r>
      <w:proofErr w:type="spellEnd"/>
      <w:r>
        <w:rPr>
          <w:color w:val="000000"/>
          <w:sz w:val="27"/>
          <w:szCs w:val="27"/>
        </w:rPr>
        <w:t xml:space="preserve"> des Nations Unies pour les réfugiés (HCR), plus de 700 000 personnes ont été déplacées à l’intérieur du pays, dont la majorité se trouve dans les régions francophones. Ces personnes déplacées internes (PDI) sont confrontées à une situation de vulnérabilité sociale, qui affecte leur capacité à faire face à un risque ou à une menace, en raison de facteurs internes ou externes qui affectent leurs ressources ou leurs opportunités. Ces facteurs peuvent être de nature matérielle, financière, juridique, physique, psychologique ou sociale. Par exemple, les PDI peuvent manquer de logement, de nourriture, de revenus, de documents d’identité, de sécurité, de santé, de reconnaissance ou de respect. Ces facteurs peuvent avoir des effets négatifs sur le bien-être et la qualité de vie des PDI.</w:t>
      </w:r>
    </w:p>
    <w:p w:rsidR="005752CF" w:rsidRDefault="005752CF" w:rsidP="005752CF">
      <w:pPr>
        <w:pStyle w:val="NormalWeb"/>
        <w:rPr>
          <w:color w:val="000000"/>
          <w:sz w:val="27"/>
          <w:szCs w:val="27"/>
        </w:rPr>
      </w:pPr>
      <w:r>
        <w:rPr>
          <w:color w:val="000000"/>
          <w:sz w:val="27"/>
          <w:szCs w:val="27"/>
        </w:rPr>
        <w:t>Toutefois, les PDI ne sont pas seulement des victimes passives ou impuissantes de leur situation. Elles sont également capables de développer des stratégies de résilience, qui leur permettent de surmonter un risque ou une menace, en mobilisant des ressources internes ou externes qui leur permettent de s’adapter, de se reconstruire ou de se transformer. Ces ressources peuvent être de nature personnelle, familiale, communautaire ou sociétale. Par exemple, les PDI peuvent compter sur leur force intérieure, leur foi, leur famille, leurs amis, leurs associations, leurs institutions ou leurs valeurs. Ces ressources peuvent avoir des effets positifs sur le bien-être et la qualité de vie des PDI.</w:t>
      </w:r>
    </w:p>
    <w:p w:rsidR="005752CF" w:rsidRDefault="005752CF" w:rsidP="005752CF">
      <w:pPr>
        <w:pStyle w:val="NormalWeb"/>
        <w:rPr>
          <w:color w:val="000000"/>
          <w:sz w:val="27"/>
          <w:szCs w:val="27"/>
        </w:rPr>
      </w:pPr>
      <w:r>
        <w:rPr>
          <w:color w:val="000000"/>
          <w:sz w:val="27"/>
          <w:szCs w:val="27"/>
        </w:rPr>
        <w:t xml:space="preserve">La psychologie sociale s’intéresse aux processus psychologiques et sociaux qui influencent le comportement des individus et des groupes dans des situations de changement, de crise ou de conflit. Parmi ces processus, deux concepts sont particulièrement pertinents pour étudier les PDI : la vulnérabilité et la résilience. La vulnérabilité sociale est définie par Chambers (2006) comme “la capacité réduite d’un individu ou d’un groupe à anticiper, faire face à, résister et récupérer d’un impact d’un risque naturel ou d’une origine humaine” (p. 33). La résilience psychologique est définie par </w:t>
      </w:r>
      <w:proofErr w:type="spellStart"/>
      <w:r>
        <w:rPr>
          <w:color w:val="000000"/>
          <w:sz w:val="27"/>
          <w:szCs w:val="27"/>
        </w:rPr>
        <w:t>Masten</w:t>
      </w:r>
      <w:proofErr w:type="spellEnd"/>
      <w:r>
        <w:rPr>
          <w:color w:val="000000"/>
          <w:sz w:val="27"/>
          <w:szCs w:val="27"/>
        </w:rPr>
        <w:t xml:space="preserve"> (2001) comme “la capacité d’un système </w:t>
      </w:r>
      <w:r>
        <w:rPr>
          <w:color w:val="000000"/>
          <w:sz w:val="27"/>
          <w:szCs w:val="27"/>
        </w:rPr>
        <w:lastRenderedPageBreak/>
        <w:t>dynamique à s’adapter avec succès aux perturbations qui menacent son fonctionnement, sa viabilité ou son développement” (p. 228).</w:t>
      </w:r>
    </w:p>
    <w:p w:rsidR="005752CF" w:rsidRDefault="005752CF" w:rsidP="005752CF">
      <w:pPr>
        <w:pStyle w:val="NormalWeb"/>
        <w:rPr>
          <w:color w:val="000000"/>
          <w:sz w:val="27"/>
          <w:szCs w:val="27"/>
        </w:rPr>
      </w:pPr>
      <w:r>
        <w:rPr>
          <w:color w:val="000000"/>
          <w:sz w:val="27"/>
          <w:szCs w:val="27"/>
        </w:rPr>
        <w:t>Dans ce mémoire, nous nous intéressons aux processus de vulnérabilité et de résilience des PDI de la crise anglophone au Cameroun, qui vivent dans la ville de Dschang, située dans la région francophone du Centre-Ouest. Nous nous demandons comment ces PDI font face à leur situation de vulnérabilité sociale et développent des stratégies de résilience pour s’adapter à leur nouvel environnement. Nous formulons les hypothèses suivantes : (1) La vulnérabilité des PDI est influencée par des facteurs tels que le genre, l’âge, l’origine ethnique, le statut socio-économique, le réseau social, etc. (2) La résilience des PDI repose sur des facteurs tels que le soutien familial et communautaire, l’engagement religieux et associatif, l’apprentissage du français et l’accès à l’éducation et à l’emploi. (3) La vulnérabilité et la résilience des PDI ont des effets sur leur bien-être psychologique, leur santé physique, leur intégration sociale et leur participation citoyenne.</w:t>
      </w:r>
    </w:p>
    <w:p w:rsidR="005752CF" w:rsidRDefault="005752CF" w:rsidP="005752CF">
      <w:pPr>
        <w:pStyle w:val="NormalWeb"/>
        <w:rPr>
          <w:color w:val="000000"/>
          <w:sz w:val="27"/>
          <w:szCs w:val="27"/>
        </w:rPr>
      </w:pPr>
      <w:r>
        <w:rPr>
          <w:color w:val="000000"/>
          <w:sz w:val="27"/>
          <w:szCs w:val="27"/>
        </w:rPr>
        <w:t>Ce mémoire est composé de six parties. Dans la première partie, nous présentons le cadre théorique et conceptuel de notre recherche, en définissant les notions de vulnérabilité et de résilience, et en présentant les principaux modèles explicatifs de ces processus. Dans la deuxième partie, nous exposons la méthode que nous avons utilisée pour réaliser notre étude, en décrivant le type de recherche, le design expérimental, l’échantillon, les variables, les instruments de mesure et les procédures de recueil et d’analyse des données. Dans la troisième partie, nous présentons les résultats obtenus à partir de l’analyse des données, en commentant les aspects significatifs ou surprenants. Dans la quatrième partie, nous interprétons les résultats obtenus en les comparant avec ceux d’autres études similaires ou complémentaires, en les reliant aux théories existantes, et en discutant leurs implications pratiques ou théoriques. Dans la cinquième partie, nous synthétisons les principaux résultats et apports de notre recherche, en répondant à la problématique initiale. Nous proposons également des recommandations ou des suggestions pour la pratique ou pour la recherche future. Dans la sixième partie, nous concluons notre mémoire en résumant les points clés de notre recherche et en ouvrant des perspectives d’amélioration ou de prolongement.</w:t>
      </w:r>
    </w:p>
    <w:p w:rsidR="005752CF" w:rsidRDefault="005752CF" w:rsidP="005752CF">
      <w:pPr>
        <w:pStyle w:val="NormalWeb"/>
        <w:rPr>
          <w:color w:val="000000"/>
          <w:sz w:val="27"/>
          <w:szCs w:val="27"/>
        </w:rPr>
      </w:pPr>
      <w:r w:rsidRPr="005752CF">
        <w:rPr>
          <w:color w:val="000000"/>
          <w:sz w:val="27"/>
          <w:szCs w:val="27"/>
          <w:highlight w:val="cyan"/>
          <w:lang w:val="en-US"/>
        </w:rPr>
        <w:t xml:space="preserve">: Chambers, R. (2006). Vulnerability, coping and policy. IDS Bulletin, 37(4), 33-40. : </w:t>
      </w:r>
      <w:proofErr w:type="spellStart"/>
      <w:r w:rsidRPr="005752CF">
        <w:rPr>
          <w:color w:val="000000"/>
          <w:sz w:val="27"/>
          <w:szCs w:val="27"/>
          <w:highlight w:val="cyan"/>
          <w:lang w:val="en-US"/>
        </w:rPr>
        <w:t>Masten</w:t>
      </w:r>
      <w:proofErr w:type="spellEnd"/>
      <w:r w:rsidRPr="005752CF">
        <w:rPr>
          <w:color w:val="000000"/>
          <w:sz w:val="27"/>
          <w:szCs w:val="27"/>
          <w:highlight w:val="cyan"/>
          <w:lang w:val="en-US"/>
        </w:rPr>
        <w:t xml:space="preserve">, A. S. (2001). </w:t>
      </w:r>
      <w:proofErr w:type="spellStart"/>
      <w:r w:rsidRPr="005752CF">
        <w:rPr>
          <w:color w:val="000000"/>
          <w:sz w:val="27"/>
          <w:szCs w:val="27"/>
          <w:highlight w:val="cyan"/>
        </w:rPr>
        <w:t>Ordinary</w:t>
      </w:r>
      <w:proofErr w:type="spellEnd"/>
      <w:r w:rsidRPr="005752CF">
        <w:rPr>
          <w:color w:val="000000"/>
          <w:sz w:val="27"/>
          <w:szCs w:val="27"/>
          <w:highlight w:val="cyan"/>
        </w:rPr>
        <w:t xml:space="preserve"> </w:t>
      </w:r>
      <w:proofErr w:type="spellStart"/>
      <w:r w:rsidRPr="005752CF">
        <w:rPr>
          <w:color w:val="000000"/>
          <w:sz w:val="27"/>
          <w:szCs w:val="27"/>
          <w:highlight w:val="cyan"/>
        </w:rPr>
        <w:t>magic</w:t>
      </w:r>
      <w:proofErr w:type="spellEnd"/>
      <w:r w:rsidRPr="005752CF">
        <w:rPr>
          <w:color w:val="000000"/>
          <w:sz w:val="27"/>
          <w:szCs w:val="27"/>
          <w:highlight w:val="cyan"/>
        </w:rPr>
        <w:t xml:space="preserve">: </w:t>
      </w:r>
      <w:proofErr w:type="spellStart"/>
      <w:r w:rsidRPr="005752CF">
        <w:rPr>
          <w:color w:val="000000"/>
          <w:sz w:val="27"/>
          <w:szCs w:val="27"/>
          <w:highlight w:val="cyan"/>
        </w:rPr>
        <w:t>Resilience</w:t>
      </w:r>
      <w:proofErr w:type="spellEnd"/>
      <w:r w:rsidRPr="005752CF">
        <w:rPr>
          <w:color w:val="000000"/>
          <w:sz w:val="27"/>
          <w:szCs w:val="27"/>
          <w:highlight w:val="cyan"/>
        </w:rPr>
        <w:t xml:space="preserve"> </w:t>
      </w:r>
      <w:proofErr w:type="spellStart"/>
      <w:r w:rsidRPr="005752CF">
        <w:rPr>
          <w:color w:val="000000"/>
          <w:sz w:val="27"/>
          <w:szCs w:val="27"/>
          <w:highlight w:val="cyan"/>
        </w:rPr>
        <w:t>processes</w:t>
      </w:r>
      <w:proofErr w:type="spellEnd"/>
      <w:r w:rsidRPr="005752CF">
        <w:rPr>
          <w:color w:val="000000"/>
          <w:sz w:val="27"/>
          <w:szCs w:val="27"/>
          <w:highlight w:val="cyan"/>
        </w:rPr>
        <w:t xml:space="preserve"> in </w:t>
      </w:r>
      <w:proofErr w:type="spellStart"/>
      <w:r w:rsidRPr="005752CF">
        <w:rPr>
          <w:color w:val="000000"/>
          <w:sz w:val="27"/>
          <w:szCs w:val="27"/>
          <w:highlight w:val="cyan"/>
        </w:rPr>
        <w:t>development</w:t>
      </w:r>
      <w:proofErr w:type="spellEnd"/>
      <w:r w:rsidRPr="005752CF">
        <w:rPr>
          <w:color w:val="000000"/>
          <w:sz w:val="27"/>
          <w:szCs w:val="27"/>
          <w:highlight w:val="cyan"/>
        </w:rPr>
        <w:t xml:space="preserve">. American </w:t>
      </w:r>
      <w:proofErr w:type="spellStart"/>
      <w:r w:rsidRPr="005752CF">
        <w:rPr>
          <w:color w:val="000000"/>
          <w:sz w:val="27"/>
          <w:szCs w:val="27"/>
          <w:highlight w:val="cyan"/>
        </w:rPr>
        <w:t>Psychologist</w:t>
      </w:r>
      <w:proofErr w:type="spellEnd"/>
      <w:r w:rsidRPr="005752CF">
        <w:rPr>
          <w:color w:val="000000"/>
          <w:sz w:val="27"/>
          <w:szCs w:val="27"/>
          <w:highlight w:val="cyan"/>
        </w:rPr>
        <w:t>, 56(3), 227-238.</w:t>
      </w:r>
    </w:p>
    <w:p w:rsidR="005752CF" w:rsidRDefault="005752CF">
      <w:pPr>
        <w:rPr>
          <w:lang w:val="en-US"/>
        </w:rPr>
      </w:pPr>
    </w:p>
    <w:p w:rsidR="00AC4BDA" w:rsidRDefault="00AC4BDA" w:rsidP="00AC4BDA">
      <w:pPr>
        <w:pStyle w:val="NormalWeb"/>
        <w:rPr>
          <w:color w:val="000000"/>
          <w:sz w:val="27"/>
          <w:szCs w:val="27"/>
        </w:rPr>
      </w:pPr>
      <w:r>
        <w:rPr>
          <w:color w:val="000000"/>
          <w:sz w:val="27"/>
          <w:szCs w:val="27"/>
        </w:rPr>
        <w:t>Matériel et méthode</w:t>
      </w:r>
    </w:p>
    <w:p w:rsidR="00AC4BDA" w:rsidRDefault="00AC4BDA" w:rsidP="00AC4BDA">
      <w:pPr>
        <w:pStyle w:val="NormalWeb"/>
        <w:rPr>
          <w:color w:val="000000"/>
          <w:sz w:val="27"/>
          <w:szCs w:val="27"/>
        </w:rPr>
      </w:pPr>
      <w:r>
        <w:rPr>
          <w:color w:val="000000"/>
          <w:sz w:val="27"/>
          <w:szCs w:val="27"/>
        </w:rPr>
        <w:t xml:space="preserve">Dans cette partie, nous décrivons les choix méthodologiques que nous avons faits pour réaliser notre étude, tels que le type de recherche, le design expérimental, </w:t>
      </w:r>
      <w:r>
        <w:rPr>
          <w:color w:val="000000"/>
          <w:sz w:val="27"/>
          <w:szCs w:val="27"/>
        </w:rPr>
        <w:lastRenderedPageBreak/>
        <w:t>l’échantillon, les variables, les instruments de mesure, les procédures de recueil et d’analyse des données. Nous justifions ces choix en fonction des objectifs et des hypothèses de notre recherche.</w:t>
      </w:r>
    </w:p>
    <w:p w:rsidR="00AC4BDA" w:rsidRDefault="00AC4BDA" w:rsidP="00AC4BDA">
      <w:pPr>
        <w:pStyle w:val="NormalWeb"/>
        <w:rPr>
          <w:color w:val="000000"/>
          <w:sz w:val="27"/>
          <w:szCs w:val="27"/>
        </w:rPr>
      </w:pPr>
      <w:r>
        <w:rPr>
          <w:color w:val="000000"/>
          <w:sz w:val="27"/>
          <w:szCs w:val="27"/>
        </w:rPr>
        <w:t>Type de recherche</w:t>
      </w:r>
    </w:p>
    <w:p w:rsidR="00AC4BDA" w:rsidRDefault="00AC4BDA" w:rsidP="00AC4BDA">
      <w:pPr>
        <w:pStyle w:val="NormalWeb"/>
        <w:rPr>
          <w:color w:val="000000"/>
          <w:sz w:val="27"/>
          <w:szCs w:val="27"/>
        </w:rPr>
      </w:pPr>
      <w:r>
        <w:rPr>
          <w:color w:val="000000"/>
          <w:sz w:val="27"/>
          <w:szCs w:val="27"/>
        </w:rPr>
        <w:t>Nous avons choisi de mener une recherche qualitative basée sur une étude de cas. Ce type de recherche permet d’explorer en profondeur un phénomène complexe et singulier, en tenant compte du contexte et des acteurs impliqués (Yin, 2014). Notre but est de comprendre les processus de vulnérabilité et de résilience des PDI à partir de leur vécu et de leur discours.</w:t>
      </w:r>
    </w:p>
    <w:p w:rsidR="00AC4BDA" w:rsidRDefault="00AC4BDA" w:rsidP="00AC4BDA">
      <w:pPr>
        <w:pStyle w:val="NormalWeb"/>
        <w:rPr>
          <w:color w:val="000000"/>
          <w:sz w:val="27"/>
          <w:szCs w:val="27"/>
        </w:rPr>
      </w:pPr>
      <w:r>
        <w:rPr>
          <w:color w:val="000000"/>
          <w:sz w:val="27"/>
          <w:szCs w:val="27"/>
        </w:rPr>
        <w:t>Design expérimental</w:t>
      </w:r>
    </w:p>
    <w:p w:rsidR="00AC4BDA" w:rsidRDefault="00AC4BDA" w:rsidP="00AC4BDA">
      <w:pPr>
        <w:pStyle w:val="NormalWeb"/>
        <w:rPr>
          <w:color w:val="000000"/>
          <w:sz w:val="27"/>
          <w:szCs w:val="27"/>
        </w:rPr>
      </w:pPr>
      <w:r>
        <w:rPr>
          <w:color w:val="000000"/>
          <w:sz w:val="27"/>
          <w:szCs w:val="27"/>
        </w:rPr>
        <w:t xml:space="preserve">Nous avons utilisé un design exploratoire non expérimental, sans manipulation ni contrôle des variables. Nous avons observé une seule variable dépendante, qui est la résilience des PDI, et plusieurs variables indépendantes, qui sont les facteurs de vulnérabilité et les stratégies d’adaptation des PDI. Nous avons comparé les PDI entre eux, en fonction de leurs caractéristiques </w:t>
      </w:r>
      <w:proofErr w:type="spellStart"/>
      <w:r>
        <w:rPr>
          <w:color w:val="000000"/>
          <w:sz w:val="27"/>
          <w:szCs w:val="27"/>
        </w:rPr>
        <w:t>socio-démographiques</w:t>
      </w:r>
      <w:proofErr w:type="spellEnd"/>
      <w:r>
        <w:rPr>
          <w:color w:val="000000"/>
          <w:sz w:val="27"/>
          <w:szCs w:val="27"/>
        </w:rPr>
        <w:t xml:space="preserve"> (genre, âge, origine ethnique, statut socio-économique, etc.).</w:t>
      </w:r>
    </w:p>
    <w:p w:rsidR="00AC4BDA" w:rsidRDefault="00AC4BDA" w:rsidP="00AC4BDA">
      <w:pPr>
        <w:pStyle w:val="NormalWeb"/>
        <w:rPr>
          <w:color w:val="000000"/>
          <w:sz w:val="27"/>
          <w:szCs w:val="27"/>
        </w:rPr>
      </w:pPr>
      <w:r>
        <w:rPr>
          <w:color w:val="000000"/>
          <w:sz w:val="27"/>
          <w:szCs w:val="27"/>
        </w:rPr>
        <w:t>Échantillon</w:t>
      </w:r>
    </w:p>
    <w:p w:rsidR="00AC4BDA" w:rsidRDefault="00AC4BDA" w:rsidP="00AC4BDA">
      <w:pPr>
        <w:pStyle w:val="NormalWeb"/>
        <w:rPr>
          <w:color w:val="000000"/>
          <w:sz w:val="27"/>
          <w:szCs w:val="27"/>
        </w:rPr>
      </w:pPr>
      <w:r>
        <w:rPr>
          <w:color w:val="000000"/>
          <w:sz w:val="27"/>
          <w:szCs w:val="27"/>
        </w:rPr>
        <w:t>Notre échantillon est composé de 20 PDI installés dans la ville de Dschang depuis plus d’un an. Nous avons choisi cet échantillon car il représente une population cible pour notre recherche, qui est confrontée à une situation de vulnérabilité sociale et qui développe des stratégies de résilience. Nous avons utilisé une méthode d’échantillonnage non probabiliste par convenance, en contactant les PDI par le biais d’associations locales qui leur viennent en aide.</w:t>
      </w:r>
    </w:p>
    <w:p w:rsidR="00AC4BDA" w:rsidRDefault="00AC4BDA" w:rsidP="00AC4BDA">
      <w:pPr>
        <w:pStyle w:val="NormalWeb"/>
        <w:rPr>
          <w:color w:val="000000"/>
          <w:sz w:val="27"/>
          <w:szCs w:val="27"/>
        </w:rPr>
      </w:pPr>
      <w:r>
        <w:rPr>
          <w:color w:val="000000"/>
          <w:sz w:val="27"/>
          <w:szCs w:val="27"/>
        </w:rPr>
        <w:t>Variables</w:t>
      </w:r>
    </w:p>
    <w:p w:rsidR="00AC4BDA" w:rsidRDefault="00AC4BDA" w:rsidP="00AC4BDA">
      <w:pPr>
        <w:pStyle w:val="NormalWeb"/>
        <w:rPr>
          <w:color w:val="000000"/>
          <w:sz w:val="27"/>
          <w:szCs w:val="27"/>
        </w:rPr>
      </w:pPr>
      <w:r>
        <w:rPr>
          <w:color w:val="000000"/>
          <w:sz w:val="27"/>
          <w:szCs w:val="27"/>
        </w:rPr>
        <w:t>La variable dépendante est la résilience des PDI, que nous définissons comme la capacité à surmonter un risque ou une menace, en mobilisant des ressources internes ou externes qui permettent de s’adapter, de se reconstruire ou de se transformer. Nous avons opérationnalisé cette variable à partir d’un indicateur composite qui prend en compte quatre dimensions : le bien-être psychologique, la santé physique, l’intégration sociale et la participation citoyenne. Nous avons mesuré cette variable à partir d’une échelle d’auto-évaluation basée sur des items à réponse graduée (de 1 à 5).</w:t>
      </w:r>
    </w:p>
    <w:p w:rsidR="00AC4BDA" w:rsidRDefault="00AC4BDA" w:rsidP="00AC4BDA">
      <w:pPr>
        <w:pStyle w:val="NormalWeb"/>
        <w:rPr>
          <w:color w:val="000000"/>
          <w:sz w:val="27"/>
          <w:szCs w:val="27"/>
        </w:rPr>
      </w:pPr>
      <w:r>
        <w:rPr>
          <w:color w:val="000000"/>
          <w:sz w:val="27"/>
          <w:szCs w:val="27"/>
        </w:rPr>
        <w:t xml:space="preserve">Les variables indépendantes sont les facteurs de vulnérabilité et les stratégies d’adaptation des PDI, que nous définissons respectivement comme la capacité réduite à faire face à un risque ou à une menace, en raison de facteurs internes ou externes qui affectent les ressources ou les opportunités ; et comme les actions ou </w:t>
      </w:r>
      <w:r>
        <w:rPr>
          <w:color w:val="000000"/>
          <w:sz w:val="27"/>
          <w:szCs w:val="27"/>
        </w:rPr>
        <w:lastRenderedPageBreak/>
        <w:t>les attitudes mises en œuvre par les PDI pour faire face à leur situation de vulnérabilité. Nous avons opérationnalisé ces variables à partir d’une analyse thématique basée sur le contenu des entretiens semi-directifs que nous avons menés auprès des PDI.</w:t>
      </w:r>
    </w:p>
    <w:p w:rsidR="00AC4BDA" w:rsidRDefault="00AC4BDA" w:rsidP="00AC4BDA">
      <w:pPr>
        <w:pStyle w:val="NormalWeb"/>
        <w:rPr>
          <w:color w:val="000000"/>
          <w:sz w:val="27"/>
          <w:szCs w:val="27"/>
        </w:rPr>
      </w:pPr>
      <w:r>
        <w:rPr>
          <w:color w:val="000000"/>
          <w:sz w:val="27"/>
          <w:szCs w:val="27"/>
        </w:rPr>
        <w:t xml:space="preserve">Les variables parasites ou confondantes sont les facteurs qui peuvent influencer la résilience des PDI, indépendamment des variables indépendantes, tels que la personnalité, le tempérament, le niveau d’éducation, etc. Nous avons contrôlé ces variables en les mesurant à partir de questionnaires standardisés ou de données </w:t>
      </w:r>
      <w:proofErr w:type="spellStart"/>
      <w:r>
        <w:rPr>
          <w:color w:val="000000"/>
          <w:sz w:val="27"/>
          <w:szCs w:val="27"/>
        </w:rPr>
        <w:t>socio-démographiques</w:t>
      </w:r>
      <w:proofErr w:type="spellEnd"/>
      <w:r>
        <w:rPr>
          <w:color w:val="000000"/>
          <w:sz w:val="27"/>
          <w:szCs w:val="27"/>
        </w:rPr>
        <w:t>.</w:t>
      </w:r>
    </w:p>
    <w:p w:rsidR="00AC4BDA" w:rsidRDefault="00AC4BDA" w:rsidP="00AC4BDA">
      <w:pPr>
        <w:pStyle w:val="NormalWeb"/>
        <w:rPr>
          <w:color w:val="000000"/>
          <w:sz w:val="27"/>
          <w:szCs w:val="27"/>
        </w:rPr>
      </w:pPr>
      <w:r>
        <w:rPr>
          <w:color w:val="000000"/>
          <w:sz w:val="27"/>
          <w:szCs w:val="27"/>
        </w:rPr>
        <w:t>Instruments de mesure</w:t>
      </w:r>
    </w:p>
    <w:p w:rsidR="00AC4BDA" w:rsidRDefault="00AC4BDA" w:rsidP="00AC4BDA">
      <w:pPr>
        <w:pStyle w:val="NormalWeb"/>
        <w:rPr>
          <w:color w:val="000000"/>
          <w:sz w:val="27"/>
          <w:szCs w:val="27"/>
        </w:rPr>
      </w:pPr>
      <w:r>
        <w:rPr>
          <w:color w:val="000000"/>
          <w:sz w:val="27"/>
          <w:szCs w:val="27"/>
        </w:rPr>
        <w:t>Les instruments de mesure que nous avons utilisés sont les suivants : (1) Un entretien semi-directif, qui est un instrument qualitatif qui permet de recueillir le discours des PDI sur leur situation de vulnérabilité et leurs stratégies de résilience. Nous avons élaboré un guide d’entretien qui comprend des questions ouvertes et fermées, portant sur les thèmes suivants : le parcours de déplacement, les conditions de vie, les difficultés rencontrées, les ressources mobilisées, les perspectives d’avenir, etc. Nous avons validé ce guide d’entretien auprès d’un expert en psychologie sociale et auprès d’un pré-test avec deux PDI. Nous avons enregistré et retranscrit les entretiens, qui ont duré en moyenne 45 minutes. (2) Une échelle d’auto-évaluation de la résilience, qui est un instrument quantitatif qui permet de mesurer le niveau de résilience des PDI à partir d’un indicateur composite. Nous avons construit cette échelle à partir d’une revue de la littérature sur la résilience et à partir des résultats de l’analyse thématique des entretiens. Nous avons élaboré 20 items à réponse graduée (de 1 à 5), répartis en quatre dimensions : le bien-être psychologique (par exemple : “Je me sens satisfait(e) de ma vie”), la santé physique (par exemple : “Je suis en bonne santé”), l’intégration sociale (par exemple : “Je me sens accepté(e) par les habitants de Dschang”) et la participation citoyenne (par exemple : “Je participe aux activités associatives ou politiques”). Nous avons validé cette échelle auprès d’un expert en psychométrie et auprès d’un pré-test avec 50 PDI. Nous avons calculé la validité et la fiabilité de cette échelle à partir d’analyses factorielles et de coefficients alpha.</w:t>
      </w:r>
    </w:p>
    <w:p w:rsidR="00AC4BDA" w:rsidRDefault="00AC4BDA" w:rsidP="00AC4BDA">
      <w:pPr>
        <w:pStyle w:val="NormalWeb"/>
        <w:rPr>
          <w:color w:val="000000"/>
          <w:sz w:val="27"/>
          <w:szCs w:val="27"/>
        </w:rPr>
      </w:pPr>
      <w:r>
        <w:rPr>
          <w:color w:val="000000"/>
          <w:sz w:val="27"/>
          <w:szCs w:val="27"/>
        </w:rPr>
        <w:t>Procédures de recueil et d’analyse des données</w:t>
      </w:r>
    </w:p>
    <w:p w:rsidR="00653B71" w:rsidRPr="00AC4BDA" w:rsidRDefault="00AC4BDA" w:rsidP="00FA6C4F">
      <w:pPr>
        <w:pStyle w:val="NormalWeb"/>
      </w:pPr>
      <w:r>
        <w:rPr>
          <w:color w:val="000000"/>
          <w:sz w:val="27"/>
          <w:szCs w:val="27"/>
        </w:rPr>
        <w:t xml:space="preserve">Les procédures que nous avons suivies sont les suivantes : (1) Pour le recueil des données qualitatives, nous avons contacté les PDI par le biais d’associations locales qui leur viennent en aide. Nous leur avons expliqué l’objectif et le déroulement de notre recherche, et nous leur avons demandé leur consentement éclairé pour participer à l’entretien. Nous avons réalisé les entretiens dans un lieu neutre et calme, en respectant la confidentialité et l’anonymat des participants. Nous avons enregistré et retranscrit les entretiens, en utilisant un logiciel de traitement du son. (2) Pour le recueil des données quantitatives, nous avons distribué aux PDI un </w:t>
      </w:r>
      <w:r>
        <w:rPr>
          <w:color w:val="000000"/>
          <w:sz w:val="27"/>
          <w:szCs w:val="27"/>
        </w:rPr>
        <w:lastRenderedPageBreak/>
        <w:t xml:space="preserve">questionnaire papier comprenant l’échelle d’auto-évaluation de la résilience et des questions </w:t>
      </w:r>
      <w:proofErr w:type="spellStart"/>
      <w:r>
        <w:rPr>
          <w:color w:val="000000"/>
          <w:sz w:val="27"/>
          <w:szCs w:val="27"/>
        </w:rPr>
        <w:t>socio-démographiques</w:t>
      </w:r>
      <w:proofErr w:type="spellEnd"/>
      <w:r>
        <w:rPr>
          <w:color w:val="000000"/>
          <w:sz w:val="27"/>
          <w:szCs w:val="27"/>
        </w:rPr>
        <w:t xml:space="preserve">. Nous leur avons expliqué le mode de remplissage du questionnaire, et nous leur avons assuré la confidentialité et l’anonymat des réponses. Nous avons collecté les questionnaires remplis, en vérifiant qu’il n’y ait pas d’erreurs ou d’omissions. (3) Pour l’analyse des données qualitatives, nous avons utilisé l’analyse thématique, qui est une méthode qui permet d’identifier les principaux thèmes relatifs à la vulnérabilité et à la résilience des PDI. Nous avons suivi les étapes suivantes : (a) La familiarisation avec les données, qui consiste à lire et à relire les transcriptions des entretiens, en prenant des notes ou des impressions. (b) La génération de codes initiaux, qui consiste à attribuer des étiquettes aux segments de texte qui correspondent à une idée ou à un concept pertinent pour notre recherche. © La recherche de thèmes, qui consiste à regrouper les codes initiaux en catégories plus larges et plus abstraites, qui représentent les aspects saillants ou récurrents du discours des PDI. (d) La revue des thèmes, qui consiste à vérifier la cohérence interne et externe des thèmes, en les comparant aux codes initiaux et aux données brutes. (e) La définition et le nommage des thèmes, qui consiste à donner un nom et une description concise à chaque thème, en mettant en évidence sa signification et sa portée pour notre recherche. (f) La production du rapport, qui consiste à présenter les thèmes identifiés, en utilisant des tableaux, des figures ou des extraits d’entretiens pour illustrer nos propos. Nous avons utilisé un logiciel d’analyse qualitative pour faciliter ces étapes. (4) Pour l’analyse des données quantitatives, nous avons utilisé des statistiques descriptives et </w:t>
      </w:r>
      <w:proofErr w:type="spellStart"/>
      <w:r>
        <w:rPr>
          <w:color w:val="000000"/>
          <w:sz w:val="27"/>
          <w:szCs w:val="27"/>
        </w:rPr>
        <w:t>inférentielles</w:t>
      </w:r>
      <w:proofErr w:type="spellEnd"/>
      <w:r>
        <w:rPr>
          <w:color w:val="000000"/>
          <w:sz w:val="27"/>
          <w:szCs w:val="27"/>
        </w:rPr>
        <w:t xml:space="preserve">, qui sont des méthodes qui permettent de décrire et de comparer les données numériques. Nous avons suivi les étapes suivantes : (a) La description des données, qui consiste à calculer des indicateurs tels que la moyenne, l’écart-type, </w:t>
      </w:r>
      <w:r w:rsidR="00FA6C4F" w:rsidRPr="00FA6C4F">
        <w:rPr>
          <w:color w:val="000000"/>
          <w:sz w:val="27"/>
          <w:szCs w:val="27"/>
        </w:rPr>
        <w:t xml:space="preserve">la fréquence ou le pourcentage pour chaque dimension de la résilience. Nous avons présenté ces indicateurs dans un tableau et dans un graphique. (b) La comparaison des données, qui consiste à tester les hypothèses formulées au préalable sur les relations entre les variables ou entre les groupes de PDI. Nous avons utilisé le coefficient de corrélation de Pearson pour mesurer la relation entre le niveau de résilience et les dimensions du bien-être et de la qualité de vie. Nous avons utilisé le test ANOVA à un facteur pour mesurer la différence entre les groupes de PDI selon leurs caractéristiques </w:t>
      </w:r>
      <w:proofErr w:type="spellStart"/>
      <w:r w:rsidR="00FA6C4F" w:rsidRPr="00FA6C4F">
        <w:rPr>
          <w:color w:val="000000"/>
          <w:sz w:val="27"/>
          <w:szCs w:val="27"/>
        </w:rPr>
        <w:t>socio-démographiques</w:t>
      </w:r>
      <w:proofErr w:type="spellEnd"/>
      <w:r w:rsidR="00FA6C4F" w:rsidRPr="00FA6C4F">
        <w:rPr>
          <w:color w:val="000000"/>
          <w:sz w:val="27"/>
          <w:szCs w:val="27"/>
        </w:rPr>
        <w:t>. Nous avons présenté ces résultats dans un tableau et dans un graphique.</w:t>
      </w:r>
    </w:p>
    <w:p w:rsidR="00653B71" w:rsidRDefault="00AC4BDA">
      <w:pPr>
        <w:rPr>
          <w:b/>
        </w:rPr>
      </w:pPr>
      <w:r>
        <w:rPr>
          <w:b/>
        </w:rPr>
        <w:t>GUIDE D’ENTRETIEN</w:t>
      </w:r>
    </w:p>
    <w:p w:rsidR="00AC4BDA" w:rsidRPr="00AC4BDA" w:rsidRDefault="00AC4BDA" w:rsidP="00AC4BD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Le guide d’entretien que nous avons utilisé est un instrument qualitatif qui nous a permis de recueillir le discours des PDI sur leur situation de vulnérabilité et leurs stratégies de résilience. Nous avons élaboré ce guide d’entretien en nous basant sur la littérature existante sur la vulnérabilité et la résilience, ainsi que sur les objectifs et les hypothèses de notre recherche. Nous avons validé ce guide d’entretien auprès d’un expert en psychologie sociale et auprès d’un pré-test avec deux PDI. Nous avons utilisé les questions suivantes pour mener les entretiens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lastRenderedPageBreak/>
        <w:t>Pouvez-vous vous présenter brièvement ? (nom, âge, origine, situation familiale, profession, etc.)</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Depuis quand et pourquoi êtes-vous installé(e) à Dschang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Comment avez-vous vécu votre déplacement forcé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Quelles sont les principales difficultés que vous rencontrez à Dschang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Quelles sont les ressources dont vous disposez pour faire face à ces difficultés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Quelles sont les activités ou les pratiques qui vous aident à vous sentir mieux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Comment évaluez-vous votre niveau de bien-être psychologique, de santé physique, d’intégration sociale et de participation citoyenne ?</w:t>
      </w:r>
    </w:p>
    <w:p w:rsidR="00AC4BDA" w:rsidRPr="00AC4BDA" w:rsidRDefault="00AC4BDA" w:rsidP="00AC4BDA">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Quels sont vos projets ou vos aspirations pour l’avenir ?</w:t>
      </w:r>
    </w:p>
    <w:p w:rsidR="00AC4BDA" w:rsidRPr="00AC4BDA" w:rsidRDefault="00AC4BDA" w:rsidP="00AC4BDA">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C4BDA">
        <w:rPr>
          <w:rFonts w:ascii="Times New Roman" w:eastAsia="Times New Roman" w:hAnsi="Times New Roman" w:cs="Times New Roman"/>
          <w:color w:val="000000"/>
          <w:sz w:val="27"/>
          <w:szCs w:val="27"/>
          <w:lang w:eastAsia="fr-FR"/>
        </w:rPr>
        <w:t xml:space="preserve">Ces questions nous ont permis de recueillir des informations pertinentes sur la vulnérabilité et la résilience des PDI, ainsi que sur leurs caractéristiques </w:t>
      </w:r>
      <w:proofErr w:type="spellStart"/>
      <w:r w:rsidRPr="00AC4BDA">
        <w:rPr>
          <w:rFonts w:ascii="Times New Roman" w:eastAsia="Times New Roman" w:hAnsi="Times New Roman" w:cs="Times New Roman"/>
          <w:color w:val="000000"/>
          <w:sz w:val="27"/>
          <w:szCs w:val="27"/>
          <w:lang w:eastAsia="fr-FR"/>
        </w:rPr>
        <w:t>socio-démographiques</w:t>
      </w:r>
      <w:proofErr w:type="spellEnd"/>
      <w:r w:rsidRPr="00AC4BDA">
        <w:rPr>
          <w:rFonts w:ascii="Times New Roman" w:eastAsia="Times New Roman" w:hAnsi="Times New Roman" w:cs="Times New Roman"/>
          <w:color w:val="000000"/>
          <w:sz w:val="27"/>
          <w:szCs w:val="27"/>
          <w:lang w:eastAsia="fr-FR"/>
        </w:rPr>
        <w:t>. Nous avons enregistré et retranscrit les entretiens, qui ont duré en moyenne 45 minutes. Nous avons ensuite analysé le contenu des entretiens à l’aide d’un logiciel d’analyse qualitative.</w:t>
      </w:r>
    </w:p>
    <w:p w:rsidR="00AC4BDA" w:rsidRDefault="00AC4BDA">
      <w:pPr>
        <w:rPr>
          <w:b/>
        </w:rPr>
      </w:pPr>
    </w:p>
    <w:p w:rsidR="00AC4BDA" w:rsidRDefault="00AC4BDA">
      <w:pPr>
        <w:rPr>
          <w:b/>
        </w:rPr>
      </w:pPr>
      <w:r>
        <w:rPr>
          <w:b/>
        </w:rPr>
        <w:t>QUESTIONNAIRES :</w:t>
      </w:r>
    </w:p>
    <w:p w:rsidR="00AC4BDA" w:rsidRDefault="00AC4BDA" w:rsidP="00AC4BDA">
      <w:pPr>
        <w:pStyle w:val="NormalWeb"/>
        <w:rPr>
          <w:color w:val="000000"/>
          <w:sz w:val="27"/>
          <w:szCs w:val="27"/>
        </w:rPr>
      </w:pPr>
      <w:r>
        <w:rPr>
          <w:color w:val="000000"/>
          <w:sz w:val="27"/>
          <w:szCs w:val="27"/>
        </w:rPr>
        <w:t xml:space="preserve">Les questionnaires que nous avons utilisés sont les suivants : (1) Un questionnaire </w:t>
      </w:r>
      <w:proofErr w:type="spellStart"/>
      <w:r>
        <w:rPr>
          <w:color w:val="000000"/>
          <w:sz w:val="27"/>
          <w:szCs w:val="27"/>
        </w:rPr>
        <w:t>socio-démographique</w:t>
      </w:r>
      <w:proofErr w:type="spellEnd"/>
      <w:r>
        <w:rPr>
          <w:color w:val="000000"/>
          <w:sz w:val="27"/>
          <w:szCs w:val="27"/>
        </w:rPr>
        <w:t xml:space="preserve">, qui nous a permis de recueillir des données sur le genre, l’âge, l’origine ethnique, le statut socio-économique, le niveau d’éducation, etc. des PDI. Nous avons utilisé des questions fermées à choix multiples ou à réponse numérique. Par exemple : “Quel est votre genre ? (a) Homme (b) Femme © Autre”. (2) Un questionnaire de personnalité, qui nous a permis de mesurer les traits de personnalité des PDI, tels que l’extraversion, le névrosisme, l’ouverture, etc. Nous avons utilisé le </w:t>
      </w:r>
      <w:proofErr w:type="spellStart"/>
      <w:r>
        <w:rPr>
          <w:color w:val="000000"/>
          <w:sz w:val="27"/>
          <w:szCs w:val="27"/>
        </w:rPr>
        <w:t>Big</w:t>
      </w:r>
      <w:proofErr w:type="spellEnd"/>
      <w:r>
        <w:rPr>
          <w:color w:val="000000"/>
          <w:sz w:val="27"/>
          <w:szCs w:val="27"/>
        </w:rPr>
        <w:t xml:space="preserve"> Five </w:t>
      </w:r>
      <w:proofErr w:type="spellStart"/>
      <w:r>
        <w:rPr>
          <w:color w:val="000000"/>
          <w:sz w:val="27"/>
          <w:szCs w:val="27"/>
        </w:rPr>
        <w:t>Inventory</w:t>
      </w:r>
      <w:proofErr w:type="spellEnd"/>
      <w:r>
        <w:rPr>
          <w:color w:val="000000"/>
          <w:sz w:val="27"/>
          <w:szCs w:val="27"/>
        </w:rPr>
        <w:t xml:space="preserve"> (BFI), qui est un instrument standardisé et validé qui comprend 44 items à réponse graduée (de 1 à 5). Par exemple : “Je suis quelqu’un qui est réservé(e)” (1 = Pas du tout d’accord, 5 = Tout à fait d’accord). (3) Un questionnaire de tempérament, qui nous a permis de mesurer le tempérament des PDI, tel que la tendance à l’optimisme ou au pessimisme. Nous avons utilisé le Life Orientation Test-</w:t>
      </w:r>
      <w:proofErr w:type="spellStart"/>
      <w:r>
        <w:rPr>
          <w:color w:val="000000"/>
          <w:sz w:val="27"/>
          <w:szCs w:val="27"/>
        </w:rPr>
        <w:t>Revised</w:t>
      </w:r>
      <w:proofErr w:type="spellEnd"/>
      <w:r>
        <w:rPr>
          <w:color w:val="000000"/>
          <w:sz w:val="27"/>
          <w:szCs w:val="27"/>
        </w:rPr>
        <w:t xml:space="preserve"> (LOT-R), qui est un instrument standardisé et validé qui comprend 10 items à réponse graduée (de 1 à 5). Par exemple : “Dans les situations difficiles, je m’attends au pire” (1 = Pas du tout d’accord, 5 = Tout à fait d’accord).</w:t>
      </w:r>
    </w:p>
    <w:p w:rsidR="00AC4BDA" w:rsidRDefault="00AC4BDA" w:rsidP="00AC4BDA">
      <w:pPr>
        <w:pStyle w:val="NormalWeb"/>
        <w:rPr>
          <w:color w:val="000000"/>
          <w:sz w:val="27"/>
          <w:szCs w:val="27"/>
        </w:rPr>
      </w:pPr>
      <w:r>
        <w:rPr>
          <w:color w:val="000000"/>
          <w:sz w:val="27"/>
          <w:szCs w:val="27"/>
        </w:rPr>
        <w:t>Ces questionnaires nous ont permis de contrôler les variables parasites ou confondantes qui peuvent influencer la résilience des PDI, indépendamment des variables indépendantes. Nous avons distribué ces questionnaires aux PDI en même temps que l’échelle d’auto-évaluation de la résilience. Nous avons ensuite analysé les données à l’aide d’un logiciel d’analyse statistique.</w:t>
      </w:r>
    </w:p>
    <w:p w:rsidR="00AC4BDA" w:rsidRDefault="00AC4BDA">
      <w:pPr>
        <w:rPr>
          <w:b/>
        </w:rPr>
      </w:pPr>
    </w:p>
    <w:p w:rsidR="00AC4BDA" w:rsidRDefault="00AC4BDA">
      <w:pPr>
        <w:rPr>
          <w:b/>
        </w:rPr>
      </w:pPr>
    </w:p>
    <w:p w:rsidR="00AC4BDA" w:rsidRDefault="00AC4BDA"/>
    <w:p w:rsidR="00AC4BDA" w:rsidRDefault="00AC4BDA"/>
    <w:p w:rsidR="00AC4BDA" w:rsidRPr="00AC4BDA" w:rsidRDefault="00AC4BDA"/>
    <w:p w:rsidR="00653B71" w:rsidRPr="00AC4BDA" w:rsidRDefault="00653B71"/>
    <w:p w:rsidR="00653B71" w:rsidRPr="00AC4BDA" w:rsidRDefault="00653B71"/>
    <w:p w:rsidR="00653B71" w:rsidRPr="00653B71" w:rsidRDefault="00653B71">
      <w:r w:rsidRPr="00653B71">
        <w:t>RESULTATS</w:t>
      </w:r>
    </w:p>
    <w:p w:rsidR="00653B71" w:rsidRPr="00653B71" w:rsidRDefault="00653B71" w:rsidP="00653B71">
      <w:r w:rsidRPr="00653B71">
        <w:t>D’accord, je vais continuer à vous aider à rédiger votre mémoire. Voici un exemple de résultats que vous pourriez rédiger :</w:t>
      </w:r>
    </w:p>
    <w:p w:rsidR="00653B71" w:rsidRPr="00653B71" w:rsidRDefault="00653B71" w:rsidP="00653B71">
      <w:r w:rsidRPr="00653B71">
        <w:t>Résultats</w:t>
      </w:r>
    </w:p>
    <w:p w:rsidR="00653B71" w:rsidRPr="00653B71" w:rsidRDefault="00653B71" w:rsidP="00653B71">
      <w:r w:rsidRPr="00653B71">
        <w:t>Dans cette partie, nous présentons les résultats obtenus à partir de l’analyse des données, sous forme de tableaux, de graphiques ou de figures. Nous commentons ces résultats en les mettant en relation avec les hypothèses ou les questions de recherche, et en soulignant les aspects significatifs ou surprenants.</w:t>
      </w:r>
    </w:p>
    <w:p w:rsidR="00653B71" w:rsidRPr="00653B71" w:rsidRDefault="00653B71" w:rsidP="00653B71">
      <w:r w:rsidRPr="00653B71">
        <w:t>Résultats qualitatifs</w:t>
      </w:r>
    </w:p>
    <w:p w:rsidR="00653B71" w:rsidRPr="00653B71" w:rsidRDefault="00653B71" w:rsidP="00653B71">
      <w:r w:rsidRPr="00653B71">
        <w:t xml:space="preserve">Nous avons identifié cinq thèmes principaux relatifs à la vulnérabilité des PDI, et quatre thèmes principaux relatifs à la résilience des PDI. Nous présentons ces thèmes dans </w:t>
      </w:r>
      <w:proofErr w:type="gramStart"/>
      <w:r w:rsidRPr="00653B71">
        <w:t>les tableaux</w:t>
      </w:r>
      <w:proofErr w:type="gramEnd"/>
      <w:r w:rsidRPr="00653B71">
        <w:t xml:space="preserve"> 1 et 2, ainsi que des extraits d’entretiens illustratifs.</w:t>
      </w:r>
    </w:p>
    <w:tbl>
      <w:tblPr>
        <w:tblW w:w="8689" w:type="dxa"/>
        <w:tblCellSpacing w:w="15" w:type="dxa"/>
        <w:tblCellMar>
          <w:left w:w="180" w:type="dxa"/>
          <w:right w:w="180" w:type="dxa"/>
        </w:tblCellMar>
        <w:tblLook w:val="04A0" w:firstRow="1" w:lastRow="0" w:firstColumn="1" w:lastColumn="0" w:noHBand="0" w:noVBand="1"/>
      </w:tblPr>
      <w:tblGrid>
        <w:gridCol w:w="5954"/>
        <w:gridCol w:w="1417"/>
        <w:gridCol w:w="1318"/>
      </w:tblGrid>
      <w:tr w:rsidR="00653B71" w:rsidRPr="00653B71" w:rsidTr="00653B71">
        <w:trPr>
          <w:tblHeader/>
          <w:tblCellSpacing w:w="15" w:type="dxa"/>
        </w:trPr>
        <w:tc>
          <w:tcPr>
            <w:tcW w:w="5909" w:type="dxa"/>
            <w:tcMar>
              <w:top w:w="120" w:type="dxa"/>
              <w:left w:w="60" w:type="dxa"/>
              <w:bottom w:w="120" w:type="dxa"/>
              <w:right w:w="60" w:type="dxa"/>
            </w:tcMar>
            <w:vAlign w:val="bottom"/>
            <w:hideMark/>
          </w:tcPr>
          <w:p w:rsidR="00653B71" w:rsidRPr="00653B71" w:rsidRDefault="00653B71" w:rsidP="00653B71">
            <w:pPr>
              <w:rPr>
                <w:b/>
                <w:bCs/>
              </w:rPr>
            </w:pPr>
            <w:r w:rsidRPr="00653B71">
              <w:rPr>
                <w:b/>
                <w:bCs/>
              </w:rPr>
              <w:t>Thème</w:t>
            </w:r>
          </w:p>
        </w:tc>
        <w:tc>
          <w:tcPr>
            <w:tcW w:w="1387" w:type="dxa"/>
            <w:tcMar>
              <w:top w:w="120" w:type="dxa"/>
              <w:left w:w="60" w:type="dxa"/>
              <w:bottom w:w="120" w:type="dxa"/>
              <w:right w:w="60" w:type="dxa"/>
            </w:tcMar>
            <w:vAlign w:val="bottom"/>
            <w:hideMark/>
          </w:tcPr>
          <w:p w:rsidR="00653B71" w:rsidRPr="00653B71" w:rsidRDefault="00653B71" w:rsidP="00653B71">
            <w:pPr>
              <w:rPr>
                <w:b/>
                <w:bCs/>
              </w:rPr>
            </w:pPr>
            <w:r w:rsidRPr="00653B71">
              <w:rPr>
                <w:b/>
                <w:bCs/>
              </w:rPr>
              <w:t>Fréquence</w:t>
            </w:r>
          </w:p>
        </w:tc>
        <w:tc>
          <w:tcPr>
            <w:tcW w:w="1273" w:type="dxa"/>
            <w:tcMar>
              <w:top w:w="120" w:type="dxa"/>
              <w:left w:w="60" w:type="dxa"/>
              <w:bottom w:w="120" w:type="dxa"/>
              <w:right w:w="60" w:type="dxa"/>
            </w:tcMar>
            <w:vAlign w:val="bottom"/>
            <w:hideMark/>
          </w:tcPr>
          <w:p w:rsidR="00653B71" w:rsidRPr="00653B71" w:rsidRDefault="00653B71" w:rsidP="00653B71">
            <w:pPr>
              <w:rPr>
                <w:b/>
                <w:bCs/>
              </w:rPr>
            </w:pPr>
            <w:r w:rsidRPr="00653B71">
              <w:rPr>
                <w:b/>
                <w:bCs/>
              </w:rPr>
              <w:t>Pourcentage</w:t>
            </w:r>
          </w:p>
        </w:tc>
      </w:tr>
      <w:tr w:rsidR="00653B71" w:rsidRPr="00653B71" w:rsidTr="00653B71">
        <w:trPr>
          <w:tblCellSpacing w:w="15" w:type="dxa"/>
        </w:trPr>
        <w:tc>
          <w:tcPr>
            <w:tcW w:w="5909" w:type="dxa"/>
            <w:tcMar>
              <w:top w:w="120" w:type="dxa"/>
              <w:left w:w="60" w:type="dxa"/>
              <w:bottom w:w="120" w:type="dxa"/>
              <w:right w:w="60" w:type="dxa"/>
            </w:tcMar>
            <w:vAlign w:val="bottom"/>
            <w:hideMark/>
          </w:tcPr>
          <w:p w:rsidR="00653B71" w:rsidRPr="00653B71" w:rsidRDefault="00653B71" w:rsidP="00653B71">
            <w:r w:rsidRPr="00653B71">
              <w:t>Manque de ressources matérielles et financières</w:t>
            </w:r>
          </w:p>
        </w:tc>
        <w:tc>
          <w:tcPr>
            <w:tcW w:w="1387" w:type="dxa"/>
            <w:tcMar>
              <w:top w:w="120" w:type="dxa"/>
              <w:left w:w="60" w:type="dxa"/>
              <w:bottom w:w="120" w:type="dxa"/>
              <w:right w:w="60" w:type="dxa"/>
            </w:tcMar>
            <w:vAlign w:val="bottom"/>
            <w:hideMark/>
          </w:tcPr>
          <w:p w:rsidR="00653B71" w:rsidRPr="00653B71" w:rsidRDefault="00653B71" w:rsidP="00653B71">
            <w:r w:rsidRPr="00653B71">
              <w:t>18</w:t>
            </w:r>
          </w:p>
        </w:tc>
        <w:tc>
          <w:tcPr>
            <w:tcW w:w="1273" w:type="dxa"/>
            <w:tcMar>
              <w:top w:w="120" w:type="dxa"/>
              <w:left w:w="60" w:type="dxa"/>
              <w:bottom w:w="120" w:type="dxa"/>
              <w:right w:w="60" w:type="dxa"/>
            </w:tcMar>
            <w:vAlign w:val="bottom"/>
            <w:hideMark/>
          </w:tcPr>
          <w:p w:rsidR="00653B71" w:rsidRPr="00653B71" w:rsidRDefault="00653B71" w:rsidP="00653B71">
            <w:r w:rsidRPr="00653B71">
              <w:t>90%</w:t>
            </w:r>
          </w:p>
        </w:tc>
      </w:tr>
      <w:tr w:rsidR="00653B71" w:rsidRPr="00653B71" w:rsidTr="00653B71">
        <w:trPr>
          <w:tblCellSpacing w:w="15" w:type="dxa"/>
        </w:trPr>
        <w:tc>
          <w:tcPr>
            <w:tcW w:w="5909" w:type="dxa"/>
            <w:tcMar>
              <w:top w:w="120" w:type="dxa"/>
              <w:left w:w="60" w:type="dxa"/>
              <w:bottom w:w="120" w:type="dxa"/>
              <w:right w:w="60" w:type="dxa"/>
            </w:tcMar>
            <w:vAlign w:val="bottom"/>
            <w:hideMark/>
          </w:tcPr>
          <w:p w:rsidR="00653B71" w:rsidRPr="00653B71" w:rsidRDefault="00653B71" w:rsidP="00653B71">
            <w:r w:rsidRPr="00653B71">
              <w:t>Insécurité juridique et physique</w:t>
            </w:r>
          </w:p>
        </w:tc>
        <w:tc>
          <w:tcPr>
            <w:tcW w:w="1387" w:type="dxa"/>
            <w:tcMar>
              <w:top w:w="120" w:type="dxa"/>
              <w:left w:w="60" w:type="dxa"/>
              <w:bottom w:w="120" w:type="dxa"/>
              <w:right w:w="60" w:type="dxa"/>
            </w:tcMar>
            <w:vAlign w:val="bottom"/>
            <w:hideMark/>
          </w:tcPr>
          <w:p w:rsidR="00653B71" w:rsidRPr="00653B71" w:rsidRDefault="00653B71" w:rsidP="00653B71">
            <w:r w:rsidRPr="00653B71">
              <w:t>15</w:t>
            </w:r>
          </w:p>
        </w:tc>
        <w:tc>
          <w:tcPr>
            <w:tcW w:w="1273" w:type="dxa"/>
            <w:tcMar>
              <w:top w:w="120" w:type="dxa"/>
              <w:left w:w="60" w:type="dxa"/>
              <w:bottom w:w="120" w:type="dxa"/>
              <w:right w:w="60" w:type="dxa"/>
            </w:tcMar>
            <w:vAlign w:val="bottom"/>
            <w:hideMark/>
          </w:tcPr>
          <w:p w:rsidR="00653B71" w:rsidRPr="00653B71" w:rsidRDefault="00653B71" w:rsidP="00653B71">
            <w:r w:rsidRPr="00653B71">
              <w:t>75%</w:t>
            </w:r>
          </w:p>
        </w:tc>
      </w:tr>
      <w:tr w:rsidR="00653B71" w:rsidRPr="00653B71" w:rsidTr="00653B71">
        <w:trPr>
          <w:tblCellSpacing w:w="15" w:type="dxa"/>
        </w:trPr>
        <w:tc>
          <w:tcPr>
            <w:tcW w:w="5909" w:type="dxa"/>
            <w:tcMar>
              <w:top w:w="120" w:type="dxa"/>
              <w:left w:w="60" w:type="dxa"/>
              <w:bottom w:w="120" w:type="dxa"/>
              <w:right w:w="60" w:type="dxa"/>
            </w:tcMar>
            <w:vAlign w:val="bottom"/>
            <w:hideMark/>
          </w:tcPr>
          <w:p w:rsidR="00653B71" w:rsidRPr="00653B71" w:rsidRDefault="00653B71" w:rsidP="00653B71">
            <w:r w:rsidRPr="00653B71">
              <w:t>Discrimination et rejet social</w:t>
            </w:r>
          </w:p>
        </w:tc>
        <w:tc>
          <w:tcPr>
            <w:tcW w:w="1387" w:type="dxa"/>
            <w:tcMar>
              <w:top w:w="120" w:type="dxa"/>
              <w:left w:w="60" w:type="dxa"/>
              <w:bottom w:w="120" w:type="dxa"/>
              <w:right w:w="60" w:type="dxa"/>
            </w:tcMar>
            <w:vAlign w:val="bottom"/>
            <w:hideMark/>
          </w:tcPr>
          <w:p w:rsidR="00653B71" w:rsidRPr="00653B71" w:rsidRDefault="00653B71" w:rsidP="00653B71">
            <w:r w:rsidRPr="00653B71">
              <w:t>12</w:t>
            </w:r>
          </w:p>
        </w:tc>
        <w:tc>
          <w:tcPr>
            <w:tcW w:w="1273" w:type="dxa"/>
            <w:tcMar>
              <w:top w:w="120" w:type="dxa"/>
              <w:left w:w="60" w:type="dxa"/>
              <w:bottom w:w="120" w:type="dxa"/>
              <w:right w:w="60" w:type="dxa"/>
            </w:tcMar>
            <w:vAlign w:val="bottom"/>
            <w:hideMark/>
          </w:tcPr>
          <w:p w:rsidR="00653B71" w:rsidRPr="00653B71" w:rsidRDefault="00653B71" w:rsidP="00653B71">
            <w:r w:rsidRPr="00653B71">
              <w:t>60%</w:t>
            </w:r>
          </w:p>
        </w:tc>
      </w:tr>
      <w:tr w:rsidR="00653B71" w:rsidRPr="00653B71" w:rsidTr="00653B71">
        <w:trPr>
          <w:tblCellSpacing w:w="15" w:type="dxa"/>
        </w:trPr>
        <w:tc>
          <w:tcPr>
            <w:tcW w:w="5909" w:type="dxa"/>
            <w:tcMar>
              <w:top w:w="120" w:type="dxa"/>
              <w:left w:w="60" w:type="dxa"/>
              <w:bottom w:w="120" w:type="dxa"/>
              <w:right w:w="60" w:type="dxa"/>
            </w:tcMar>
            <w:vAlign w:val="bottom"/>
            <w:hideMark/>
          </w:tcPr>
          <w:p w:rsidR="00653B71" w:rsidRPr="00653B71" w:rsidRDefault="00653B71" w:rsidP="00653B71">
            <w:r w:rsidRPr="00653B71">
              <w:t>Traumatisme et stress post-traumatique</w:t>
            </w:r>
          </w:p>
        </w:tc>
        <w:tc>
          <w:tcPr>
            <w:tcW w:w="1387" w:type="dxa"/>
            <w:tcMar>
              <w:top w:w="120" w:type="dxa"/>
              <w:left w:w="60" w:type="dxa"/>
              <w:bottom w:w="120" w:type="dxa"/>
              <w:right w:w="60" w:type="dxa"/>
            </w:tcMar>
            <w:vAlign w:val="bottom"/>
            <w:hideMark/>
          </w:tcPr>
          <w:p w:rsidR="00653B71" w:rsidRPr="00653B71" w:rsidRDefault="00653B71" w:rsidP="00653B71">
            <w:r w:rsidRPr="00653B71">
              <w:t>10</w:t>
            </w:r>
          </w:p>
        </w:tc>
        <w:tc>
          <w:tcPr>
            <w:tcW w:w="1273" w:type="dxa"/>
            <w:tcMar>
              <w:top w:w="120" w:type="dxa"/>
              <w:left w:w="60" w:type="dxa"/>
              <w:bottom w:w="120" w:type="dxa"/>
              <w:right w:w="60" w:type="dxa"/>
            </w:tcMar>
            <w:vAlign w:val="bottom"/>
            <w:hideMark/>
          </w:tcPr>
          <w:p w:rsidR="00653B71" w:rsidRPr="00653B71" w:rsidRDefault="00653B71" w:rsidP="00653B71">
            <w:r w:rsidRPr="00653B71">
              <w:t>50%</w:t>
            </w:r>
          </w:p>
        </w:tc>
      </w:tr>
      <w:tr w:rsidR="00653B71" w:rsidRPr="00653B71" w:rsidTr="00653B71">
        <w:trPr>
          <w:tblCellSpacing w:w="15" w:type="dxa"/>
        </w:trPr>
        <w:tc>
          <w:tcPr>
            <w:tcW w:w="5909" w:type="dxa"/>
            <w:tcMar>
              <w:top w:w="120" w:type="dxa"/>
              <w:left w:w="60" w:type="dxa"/>
              <w:bottom w:w="120" w:type="dxa"/>
              <w:right w:w="60" w:type="dxa"/>
            </w:tcMar>
            <w:vAlign w:val="bottom"/>
            <w:hideMark/>
          </w:tcPr>
          <w:p w:rsidR="00653B71" w:rsidRPr="00653B71" w:rsidRDefault="00653B71" w:rsidP="00653B71">
            <w:r w:rsidRPr="00653B71">
              <w:t>Perte d’identité et d’appartenance</w:t>
            </w:r>
          </w:p>
        </w:tc>
        <w:tc>
          <w:tcPr>
            <w:tcW w:w="1387" w:type="dxa"/>
            <w:tcMar>
              <w:top w:w="120" w:type="dxa"/>
              <w:left w:w="60" w:type="dxa"/>
              <w:bottom w:w="120" w:type="dxa"/>
              <w:right w:w="60" w:type="dxa"/>
            </w:tcMar>
            <w:vAlign w:val="bottom"/>
            <w:hideMark/>
          </w:tcPr>
          <w:p w:rsidR="00653B71" w:rsidRPr="00653B71" w:rsidRDefault="00653B71" w:rsidP="00653B71">
            <w:r w:rsidRPr="00653B71">
              <w:t>8</w:t>
            </w:r>
          </w:p>
        </w:tc>
        <w:tc>
          <w:tcPr>
            <w:tcW w:w="1273" w:type="dxa"/>
            <w:tcMar>
              <w:top w:w="120" w:type="dxa"/>
              <w:left w:w="60" w:type="dxa"/>
              <w:bottom w:w="120" w:type="dxa"/>
              <w:right w:w="60" w:type="dxa"/>
            </w:tcMar>
            <w:vAlign w:val="bottom"/>
            <w:hideMark/>
          </w:tcPr>
          <w:p w:rsidR="00653B71" w:rsidRPr="00653B71" w:rsidRDefault="00653B71" w:rsidP="00653B71">
            <w:r w:rsidRPr="00653B71">
              <w:t>40%</w:t>
            </w:r>
          </w:p>
        </w:tc>
      </w:tr>
    </w:tbl>
    <w:p w:rsidR="00653B71" w:rsidRPr="00653B71" w:rsidRDefault="00653B71" w:rsidP="00653B71">
      <w:r w:rsidRPr="00653B71">
        <w:t>Tableau 1 : Thèmes relatifs à la vulnérabilité des PDI</w:t>
      </w:r>
    </w:p>
    <w:p w:rsidR="00653B71" w:rsidRPr="00653B71" w:rsidRDefault="00653B71" w:rsidP="00653B71">
      <w:r w:rsidRPr="00653B71">
        <w:t xml:space="preserve">Le thème le plus fréquent est le manque de ressources matérielles et financières, qui </w:t>
      </w:r>
      <w:proofErr w:type="gramStart"/>
      <w:r w:rsidRPr="00653B71">
        <w:t>concerne</w:t>
      </w:r>
      <w:proofErr w:type="gramEnd"/>
      <w:r w:rsidRPr="00653B71">
        <w:t xml:space="preserve"> 18 PDI sur 20 (90%). Ce thème regroupe les difficultés liées au logement, à la nourriture, aux vêtements, aux transports, etc. Par exemple, un participant déclare :</w:t>
      </w:r>
    </w:p>
    <w:p w:rsidR="00653B71" w:rsidRPr="00653B71" w:rsidRDefault="00653B71" w:rsidP="00653B71">
      <w:r w:rsidRPr="00653B71">
        <w:t>“Je vis dans une chambre avec ma femme et mes quatre enfants. On n’a pas assez d’espace, ni assez d’argent pour payer le loyer et la nourriture. On survit comme on peut.” (PDI 7)</w:t>
      </w:r>
    </w:p>
    <w:p w:rsidR="00653B71" w:rsidRPr="00653B71" w:rsidRDefault="00653B71" w:rsidP="00653B71">
      <w:r w:rsidRPr="00653B71">
        <w:lastRenderedPageBreak/>
        <w:t>Le deuxième thème le plus fréquent est l’insécurité juridique et physique, qui concerne 15 PDI sur 20 (75%). Ce thème regroupe les risques liés à l’absence de documents d’identité, à la violence, aux arrestations arbitraires, aux enlèvements, etc. Par exemple, un participant déclare :</w:t>
      </w:r>
    </w:p>
    <w:p w:rsidR="00653B71" w:rsidRPr="00653B71" w:rsidRDefault="00653B71" w:rsidP="00653B71">
      <w:r w:rsidRPr="00653B71">
        <w:t>“Je n’ai pas de carte nationale d’identité, ni de passeport. Je suis comme un fantôme. Je ne peux pas circuler librement, ni travailler légalement. Je vis dans la peur d’être arrêté ou kidnappé.” (PDI 12)</w:t>
      </w:r>
    </w:p>
    <w:p w:rsidR="00653B71" w:rsidRPr="00653B71" w:rsidRDefault="00653B71" w:rsidP="00653B71">
      <w:r w:rsidRPr="00653B71">
        <w:t>Le troisième thème le plus fréquent est la discrimination et le rejet social, qui concerne 12 PDI sur 20 (60%). Ce thème regroupe les attitudes négatives ou hostiles des habitants de Dschang envers les PDI, telles que le mépris, la moquerie, l’exclusion, etc. Par exemple, un participant déclare :</w:t>
      </w:r>
    </w:p>
    <w:p w:rsidR="00653B71" w:rsidRPr="00653B71" w:rsidRDefault="00653B71" w:rsidP="00653B71">
      <w:r w:rsidRPr="00653B71">
        <w:t>“Les gens d’ici nous regardent avec dédain. Ils nous traitent de rebelles, de terroristes, de voleurs. Ils ne veulent pas nous intégrer dans leur communauté. Ils nous font sentir que nous ne sommes pas les bienvenus.” (PDI 16)</w:t>
      </w:r>
    </w:p>
    <w:p w:rsidR="00653B71" w:rsidRPr="00653B71" w:rsidRDefault="00653B71" w:rsidP="00653B71">
      <w:r w:rsidRPr="00653B71">
        <w:t>Le quatrième thème le plus fréquent est le traumatisme et le stress post-traumatique, qui concerne 10 PDI sur 20 (50%). Ce thème regroupe les conséquences psychologiques du déplacement forcé, telles que les souvenirs douloureux, les cauchemars, l’anxiété, la dépression, etc. Par exemple, un participant déclare :</w:t>
      </w:r>
    </w:p>
    <w:p w:rsidR="00653B71" w:rsidRPr="00653B71" w:rsidRDefault="00653B71" w:rsidP="00653B71">
      <w:r w:rsidRPr="00653B71">
        <w:t>“Je fais souvent des cauchemars où je revois les scènes horribles que j’ai vécues. Je me réveille en sueur et en pleurs. Je n’arrive pas à oublier ce que j’ai perdu : ma maison, mes parents, mes amis.” (PDI 4)</w:t>
      </w:r>
    </w:p>
    <w:p w:rsidR="00653B71" w:rsidRPr="00653B71" w:rsidRDefault="00653B71" w:rsidP="00653B71">
      <w:r w:rsidRPr="00653B71">
        <w:t>Le cinquième thème le plus fréquent est la perte d’identité et d’appartenance, qui concerne 8 PDI sur 20 (40%). Ce thème regroupe les sentiments de déracinement, d’aliénation ou d’inadaptation des PDI à leur nouvel environnement. Par exemple, un participant déclare :</w:t>
      </w:r>
    </w:p>
    <w:p w:rsidR="00653B71" w:rsidRPr="00653B71" w:rsidRDefault="00653B71" w:rsidP="00653B71">
      <w:r w:rsidRPr="00653B71">
        <w:t>“Je ne me sens pas chez moi ici. Je ne parle pas bien le français, je ne connais pas la culture ni les coutumes d’ici. Je ne sais pas qui je suis ni où je vais. Je me sens perdu.” (PDI 9)</w:t>
      </w:r>
    </w:p>
    <w:tbl>
      <w:tblPr>
        <w:tblW w:w="8490" w:type="dxa"/>
        <w:tblCellSpacing w:w="15" w:type="dxa"/>
        <w:tblCellMar>
          <w:left w:w="180" w:type="dxa"/>
          <w:right w:w="180" w:type="dxa"/>
        </w:tblCellMar>
        <w:tblLook w:val="04A0" w:firstRow="1" w:lastRow="0" w:firstColumn="1" w:lastColumn="0" w:noHBand="0" w:noVBand="1"/>
      </w:tblPr>
      <w:tblGrid>
        <w:gridCol w:w="6096"/>
        <w:gridCol w:w="1508"/>
        <w:gridCol w:w="886"/>
      </w:tblGrid>
      <w:tr w:rsidR="00653B71" w:rsidRPr="00653B71" w:rsidTr="00653B71">
        <w:trPr>
          <w:tblHeader/>
          <w:tblCellSpacing w:w="15" w:type="dxa"/>
        </w:trPr>
        <w:tc>
          <w:tcPr>
            <w:tcW w:w="6051" w:type="dxa"/>
            <w:tcMar>
              <w:top w:w="120" w:type="dxa"/>
              <w:left w:w="60" w:type="dxa"/>
              <w:bottom w:w="120" w:type="dxa"/>
              <w:right w:w="60" w:type="dxa"/>
            </w:tcMar>
            <w:vAlign w:val="bottom"/>
            <w:hideMark/>
          </w:tcPr>
          <w:p w:rsidR="00653B71" w:rsidRPr="00653B71" w:rsidRDefault="00653B71" w:rsidP="00653B71">
            <w:pPr>
              <w:rPr>
                <w:b/>
                <w:bCs/>
              </w:rPr>
            </w:pPr>
            <w:r w:rsidRPr="00653B71">
              <w:rPr>
                <w:b/>
                <w:bCs/>
              </w:rPr>
              <w:t>Thème</w:t>
            </w:r>
          </w:p>
        </w:tc>
        <w:tc>
          <w:tcPr>
            <w:tcW w:w="0" w:type="auto"/>
            <w:tcMar>
              <w:top w:w="120" w:type="dxa"/>
              <w:left w:w="60" w:type="dxa"/>
              <w:bottom w:w="120" w:type="dxa"/>
              <w:right w:w="60" w:type="dxa"/>
            </w:tcMar>
            <w:vAlign w:val="bottom"/>
            <w:hideMark/>
          </w:tcPr>
          <w:p w:rsidR="00653B71" w:rsidRPr="00653B71" w:rsidRDefault="00653B71" w:rsidP="00653B71">
            <w:pPr>
              <w:rPr>
                <w:b/>
                <w:bCs/>
              </w:rPr>
            </w:pPr>
            <w:r w:rsidRPr="00653B71">
              <w:rPr>
                <w:b/>
                <w:bCs/>
              </w:rPr>
              <w:t>Fréquence</w:t>
            </w:r>
          </w:p>
        </w:tc>
        <w:tc>
          <w:tcPr>
            <w:tcW w:w="841" w:type="dxa"/>
            <w:tcMar>
              <w:top w:w="120" w:type="dxa"/>
              <w:left w:w="60" w:type="dxa"/>
              <w:bottom w:w="120" w:type="dxa"/>
              <w:right w:w="60" w:type="dxa"/>
            </w:tcMar>
            <w:vAlign w:val="bottom"/>
            <w:hideMark/>
          </w:tcPr>
          <w:p w:rsidR="00653B71" w:rsidRDefault="00653B71" w:rsidP="00653B71">
            <w:pPr>
              <w:rPr>
                <w:b/>
                <w:bCs/>
              </w:rPr>
            </w:pPr>
            <w:r w:rsidRPr="00653B71">
              <w:rPr>
                <w:b/>
                <w:bCs/>
              </w:rPr>
              <w:t>Pour</w:t>
            </w:r>
          </w:p>
          <w:p w:rsidR="00653B71" w:rsidRPr="00653B71" w:rsidRDefault="00653B71" w:rsidP="00653B71">
            <w:pPr>
              <w:rPr>
                <w:b/>
                <w:bCs/>
              </w:rPr>
            </w:pPr>
            <w:proofErr w:type="spellStart"/>
            <w:r w:rsidRPr="00653B71">
              <w:rPr>
                <w:b/>
                <w:bCs/>
              </w:rPr>
              <w:t>centage</w:t>
            </w:r>
            <w:proofErr w:type="spellEnd"/>
          </w:p>
        </w:tc>
      </w:tr>
      <w:tr w:rsidR="00653B71" w:rsidRPr="00653B71" w:rsidTr="00653B71">
        <w:trPr>
          <w:tblCellSpacing w:w="15" w:type="dxa"/>
        </w:trPr>
        <w:tc>
          <w:tcPr>
            <w:tcW w:w="6051" w:type="dxa"/>
            <w:tcMar>
              <w:top w:w="120" w:type="dxa"/>
              <w:left w:w="60" w:type="dxa"/>
              <w:bottom w:w="120" w:type="dxa"/>
              <w:right w:w="60" w:type="dxa"/>
            </w:tcMar>
            <w:vAlign w:val="bottom"/>
            <w:hideMark/>
          </w:tcPr>
          <w:p w:rsidR="00653B71" w:rsidRPr="00653B71" w:rsidRDefault="00653B71" w:rsidP="00653B71">
            <w:r w:rsidRPr="00653B71">
              <w:t>Soutien familial et communautaire</w:t>
            </w:r>
          </w:p>
        </w:tc>
        <w:tc>
          <w:tcPr>
            <w:tcW w:w="0" w:type="auto"/>
            <w:tcMar>
              <w:top w:w="120" w:type="dxa"/>
              <w:left w:w="60" w:type="dxa"/>
              <w:bottom w:w="120" w:type="dxa"/>
              <w:right w:w="60" w:type="dxa"/>
            </w:tcMar>
            <w:vAlign w:val="bottom"/>
            <w:hideMark/>
          </w:tcPr>
          <w:p w:rsidR="00653B71" w:rsidRPr="00653B71" w:rsidRDefault="00653B71" w:rsidP="00653B71">
            <w:r w:rsidRPr="00653B71">
              <w:t>17</w:t>
            </w:r>
          </w:p>
        </w:tc>
        <w:tc>
          <w:tcPr>
            <w:tcW w:w="841" w:type="dxa"/>
            <w:tcMar>
              <w:top w:w="120" w:type="dxa"/>
              <w:left w:w="60" w:type="dxa"/>
              <w:bottom w:w="120" w:type="dxa"/>
              <w:right w:w="60" w:type="dxa"/>
            </w:tcMar>
            <w:vAlign w:val="bottom"/>
            <w:hideMark/>
          </w:tcPr>
          <w:p w:rsidR="00653B71" w:rsidRPr="00653B71" w:rsidRDefault="00653B71" w:rsidP="00653B71">
            <w:r w:rsidRPr="00653B71">
              <w:t>85%</w:t>
            </w:r>
          </w:p>
        </w:tc>
      </w:tr>
      <w:tr w:rsidR="00653B71" w:rsidRPr="00653B71" w:rsidTr="00653B71">
        <w:trPr>
          <w:tblCellSpacing w:w="15" w:type="dxa"/>
        </w:trPr>
        <w:tc>
          <w:tcPr>
            <w:tcW w:w="6051" w:type="dxa"/>
            <w:tcMar>
              <w:top w:w="120" w:type="dxa"/>
              <w:left w:w="60" w:type="dxa"/>
              <w:bottom w:w="120" w:type="dxa"/>
              <w:right w:w="60" w:type="dxa"/>
            </w:tcMar>
            <w:vAlign w:val="bottom"/>
            <w:hideMark/>
          </w:tcPr>
          <w:p w:rsidR="00653B71" w:rsidRPr="00653B71" w:rsidRDefault="00653B71" w:rsidP="00653B71">
            <w:r w:rsidRPr="00653B71">
              <w:t>Engagement religieux et associatif</w:t>
            </w:r>
          </w:p>
        </w:tc>
        <w:tc>
          <w:tcPr>
            <w:tcW w:w="0" w:type="auto"/>
            <w:tcMar>
              <w:top w:w="120" w:type="dxa"/>
              <w:left w:w="60" w:type="dxa"/>
              <w:bottom w:w="120" w:type="dxa"/>
              <w:right w:w="60" w:type="dxa"/>
            </w:tcMar>
            <w:vAlign w:val="bottom"/>
            <w:hideMark/>
          </w:tcPr>
          <w:p w:rsidR="00653B71" w:rsidRPr="00653B71" w:rsidRDefault="00653B71" w:rsidP="00653B71">
            <w:r w:rsidRPr="00653B71">
              <w:t>14</w:t>
            </w:r>
          </w:p>
        </w:tc>
        <w:tc>
          <w:tcPr>
            <w:tcW w:w="841" w:type="dxa"/>
            <w:tcMar>
              <w:top w:w="120" w:type="dxa"/>
              <w:left w:w="60" w:type="dxa"/>
              <w:bottom w:w="120" w:type="dxa"/>
              <w:right w:w="60" w:type="dxa"/>
            </w:tcMar>
            <w:vAlign w:val="bottom"/>
            <w:hideMark/>
          </w:tcPr>
          <w:p w:rsidR="00653B71" w:rsidRPr="00653B71" w:rsidRDefault="00653B71" w:rsidP="00653B71">
            <w:r w:rsidRPr="00653B71">
              <w:t>70%</w:t>
            </w:r>
          </w:p>
        </w:tc>
      </w:tr>
      <w:tr w:rsidR="00653B71" w:rsidRPr="00653B71" w:rsidTr="00653B71">
        <w:trPr>
          <w:tblCellSpacing w:w="15" w:type="dxa"/>
        </w:trPr>
        <w:tc>
          <w:tcPr>
            <w:tcW w:w="6051" w:type="dxa"/>
            <w:tcMar>
              <w:top w:w="120" w:type="dxa"/>
              <w:left w:w="60" w:type="dxa"/>
              <w:bottom w:w="120" w:type="dxa"/>
              <w:right w:w="60" w:type="dxa"/>
            </w:tcMar>
            <w:vAlign w:val="bottom"/>
            <w:hideMark/>
          </w:tcPr>
          <w:p w:rsidR="00653B71" w:rsidRPr="00653B71" w:rsidRDefault="00653B71" w:rsidP="00653B71">
            <w:r w:rsidRPr="00653B71">
              <w:t>Apprentissage du français et accès à l’éducation et à l’emploi</w:t>
            </w:r>
          </w:p>
        </w:tc>
        <w:tc>
          <w:tcPr>
            <w:tcW w:w="0" w:type="auto"/>
            <w:tcMar>
              <w:top w:w="120" w:type="dxa"/>
              <w:left w:w="60" w:type="dxa"/>
              <w:bottom w:w="120" w:type="dxa"/>
              <w:right w:w="60" w:type="dxa"/>
            </w:tcMar>
            <w:vAlign w:val="bottom"/>
            <w:hideMark/>
          </w:tcPr>
          <w:p w:rsidR="00653B71" w:rsidRPr="00653B71" w:rsidRDefault="00653B71" w:rsidP="00653B71">
            <w:r w:rsidRPr="00653B71">
              <w:t>11</w:t>
            </w:r>
          </w:p>
        </w:tc>
        <w:tc>
          <w:tcPr>
            <w:tcW w:w="841" w:type="dxa"/>
            <w:tcMar>
              <w:top w:w="120" w:type="dxa"/>
              <w:left w:w="60" w:type="dxa"/>
              <w:bottom w:w="120" w:type="dxa"/>
              <w:right w:w="60" w:type="dxa"/>
            </w:tcMar>
            <w:vAlign w:val="bottom"/>
            <w:hideMark/>
          </w:tcPr>
          <w:p w:rsidR="00653B71" w:rsidRPr="00653B71" w:rsidRDefault="00653B71" w:rsidP="00653B71">
            <w:r w:rsidRPr="00653B71">
              <w:t>55%</w:t>
            </w:r>
          </w:p>
        </w:tc>
      </w:tr>
      <w:tr w:rsidR="00653B71" w:rsidRPr="00653B71" w:rsidTr="00653B71">
        <w:trPr>
          <w:tblCellSpacing w:w="15" w:type="dxa"/>
        </w:trPr>
        <w:tc>
          <w:tcPr>
            <w:tcW w:w="6051" w:type="dxa"/>
            <w:tcMar>
              <w:top w:w="120" w:type="dxa"/>
              <w:left w:w="60" w:type="dxa"/>
              <w:bottom w:w="120" w:type="dxa"/>
              <w:right w:w="60" w:type="dxa"/>
            </w:tcMar>
            <w:vAlign w:val="bottom"/>
            <w:hideMark/>
          </w:tcPr>
          <w:p w:rsidR="00653B71" w:rsidRPr="00653B71" w:rsidRDefault="00653B71" w:rsidP="00653B71">
            <w:r w:rsidRPr="00653B71">
              <w:t>Force intérieure et foi en l’avenir</w:t>
            </w:r>
          </w:p>
        </w:tc>
        <w:tc>
          <w:tcPr>
            <w:tcW w:w="0" w:type="auto"/>
            <w:tcMar>
              <w:top w:w="120" w:type="dxa"/>
              <w:left w:w="60" w:type="dxa"/>
              <w:bottom w:w="120" w:type="dxa"/>
              <w:right w:w="60" w:type="dxa"/>
            </w:tcMar>
            <w:vAlign w:val="bottom"/>
            <w:hideMark/>
          </w:tcPr>
          <w:p w:rsidR="00653B71" w:rsidRPr="00653B71" w:rsidRDefault="00653B71" w:rsidP="00653B71">
            <w:r w:rsidRPr="00653B71">
              <w:t>9</w:t>
            </w:r>
          </w:p>
        </w:tc>
        <w:tc>
          <w:tcPr>
            <w:tcW w:w="841" w:type="dxa"/>
            <w:tcMar>
              <w:top w:w="120" w:type="dxa"/>
              <w:left w:w="60" w:type="dxa"/>
              <w:bottom w:w="120" w:type="dxa"/>
              <w:right w:w="60" w:type="dxa"/>
            </w:tcMar>
            <w:vAlign w:val="bottom"/>
            <w:hideMark/>
          </w:tcPr>
          <w:p w:rsidR="00653B71" w:rsidRPr="00653B71" w:rsidRDefault="00653B71" w:rsidP="00653B71">
            <w:r w:rsidRPr="00653B71">
              <w:t>45%</w:t>
            </w:r>
          </w:p>
        </w:tc>
      </w:tr>
    </w:tbl>
    <w:p w:rsidR="00653B71" w:rsidRPr="00653B71" w:rsidRDefault="00653B71" w:rsidP="00653B71">
      <w:r w:rsidRPr="00653B71">
        <w:t>Tableau 2 : Thèmes relatifs à la résilience des PDI</w:t>
      </w:r>
    </w:p>
    <w:p w:rsidR="00653B71" w:rsidRPr="00653B71" w:rsidRDefault="00653B71" w:rsidP="00653B71">
      <w:r w:rsidRPr="00653B71">
        <w:t>Le thème le plus fréquent est le soutien familial et communautaire, qui concerne 17 PDI sur 20 (85%). Ce thème regroupe les sources de soutien affectif, matériel ou moral que les PDI reçoivent de leur famille, de leurs amis, de leurs voisins, de leurs associations, etc. Par exemple, un participant déclare :</w:t>
      </w:r>
    </w:p>
    <w:p w:rsidR="00653B71" w:rsidRPr="00653B71" w:rsidRDefault="00653B71" w:rsidP="00653B71">
      <w:r w:rsidRPr="00653B71">
        <w:lastRenderedPageBreak/>
        <w:t xml:space="preserve">“Ma famille est ma principale source de soutien. Mes parents, mes frères et mes sœurs m’aident </w:t>
      </w:r>
      <w:proofErr w:type="gramStart"/>
      <w:r w:rsidRPr="00653B71">
        <w:t>financièrement</w:t>
      </w:r>
      <w:proofErr w:type="gramEnd"/>
      <w:r w:rsidRPr="00653B71">
        <w:t xml:space="preserve"> et moralement. Ils me donnent de l’amour, de la confiance, de l’espoir. Ils sont ma raison de vivre.” (PDI 2)</w:t>
      </w:r>
    </w:p>
    <w:p w:rsidR="00653B71" w:rsidRPr="00653B71" w:rsidRDefault="00653B71" w:rsidP="00653B71">
      <w:r w:rsidRPr="00653B71">
        <w:t>Le deuxième thème le plus fréquent est l’engagement religieux et associatif, qui concerne 14 PDI sur 20 (70%). Ce thème regroupe les activités ou les pratiques qui permettent aux PDI de se relier à une transcendance, à une communauté ou à une cause. Par exemple, un participant déclare :</w:t>
      </w:r>
    </w:p>
    <w:p w:rsidR="00653B71" w:rsidRPr="00653B71" w:rsidRDefault="00653B71" w:rsidP="00653B71">
      <w:r w:rsidRPr="00653B71">
        <w:t>“La religion est très importante pour moi. Elle me donne du sens, de la force, de la paix. Je prie tous les jours, je vais à l’église tous les dimanches, je participe aux activités du groupe de prière.” (PDI 6)</w:t>
      </w:r>
    </w:p>
    <w:p w:rsidR="00653B71" w:rsidRPr="00653B71" w:rsidRDefault="00653B71" w:rsidP="00653B71">
      <w:r w:rsidRPr="00653B71">
        <w:t>Le troisième thème le plus fréquent est l’apprentissage du français et l’accès à l’éducation et à l’emploi, qui concerne 11 PDI sur 20 (55%). Ce thème regroupe les opportunités ou les initiatives qui permettent aux PDI d’acquérir des compétences, des connaissances ou des ressources qui facilitent leur intégration sociale et économique. Par exemple, un participant déclare :</w:t>
      </w:r>
    </w:p>
    <w:p w:rsidR="00653B71" w:rsidRPr="00653B71" w:rsidRDefault="00653B71" w:rsidP="00653B71">
      <w:r w:rsidRPr="00653B71">
        <w:t>“J’ai appris le français en venant ici. C’est une langue très utile pour communiquer avec les gens d’ici, pour trouver du travail, pour étudier. Je suis inscrit dans un centre de formation professionnelle où j’apprends la mécanique.” (PDI 13)</w:t>
      </w:r>
    </w:p>
    <w:p w:rsidR="00653B71" w:rsidRPr="00653B71" w:rsidRDefault="00653B71" w:rsidP="00653B71">
      <w:r w:rsidRPr="00653B71">
        <w:t>Le quatrième thème le plus fréquent est la force intérieure et la foi en l’avenir, qui concerne 9 PDI sur 20 (45%). Ce thème regroupe les ressources psychologiques ou spirituelles qui permettent aux PDI de faire preuve de courage, d’optimisme ou d’espérance face aux difficultés. Par exemple, un participant déclare :</w:t>
      </w:r>
    </w:p>
    <w:p w:rsidR="00653B71" w:rsidRPr="00653B71" w:rsidRDefault="00653B71" w:rsidP="00653B71">
      <w:r w:rsidRPr="00653B71">
        <w:t>“Je suis une personne forte. Je ne me laisse pas abattre par les problèmes. Je crois que tout va s’arranger un jour. Je garde espoir en l’avenir.” (PDI 19)</w:t>
      </w:r>
    </w:p>
    <w:p w:rsidR="00653B71" w:rsidRPr="00653B71" w:rsidRDefault="00653B71" w:rsidP="00653B71">
      <w:r w:rsidRPr="00653B71">
        <w:t>Résultats quantitatifs</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 xml:space="preserve">Nous avons calculé le niveau moyen de résilience des PDI selon les quatre dimensions (bien-être psychologique, santé physique, intégration sociale et participation citoyenne), ainsi que le score global de résilience. Nous avons également effectué des analyses statistiques pour tester les hypothèses suivantes : (1) Il existe une corrélation positive entre le niveau de résilience des PDI et leur bien-être psychologique, leur santé physique, leur intégration sociale et leur participation citoyenne. (2) Il existe des différences significatives entre les groupes de PDI selon leurs caractéristiques </w:t>
      </w:r>
      <w:proofErr w:type="spellStart"/>
      <w:r w:rsidRPr="00653B71">
        <w:rPr>
          <w:rFonts w:ascii="Times New Roman" w:eastAsia="Times New Roman" w:hAnsi="Times New Roman" w:cs="Times New Roman"/>
          <w:color w:val="000000"/>
          <w:sz w:val="27"/>
          <w:szCs w:val="27"/>
          <w:lang w:eastAsia="fr-FR"/>
        </w:rPr>
        <w:t>socio-démographiques</w:t>
      </w:r>
      <w:proofErr w:type="spellEnd"/>
      <w:r w:rsidRPr="00653B71">
        <w:rPr>
          <w:rFonts w:ascii="Times New Roman" w:eastAsia="Times New Roman" w:hAnsi="Times New Roman" w:cs="Times New Roman"/>
          <w:color w:val="000000"/>
          <w:sz w:val="27"/>
          <w:szCs w:val="27"/>
          <w:lang w:eastAsia="fr-FR"/>
        </w:rPr>
        <w:t xml:space="preserve"> (genre, âge, origine ethnique, statut socio-économique, etc.) en termes de niveau de résilience. Nous présentons ces résultats dans le tableau 3 et le graphique 2.</w:t>
      </w:r>
    </w:p>
    <w:tbl>
      <w:tblPr>
        <w:tblW w:w="0" w:type="auto"/>
        <w:tblCellSpacing w:w="15" w:type="dxa"/>
        <w:tblBorders>
          <w:top w:val="single" w:sz="6" w:space="0" w:color="C4C7C5"/>
          <w:left w:val="single" w:sz="6" w:space="0" w:color="C4C7C5"/>
          <w:bottom w:val="single" w:sz="6" w:space="0" w:color="C4C7C5"/>
          <w:right w:val="single" w:sz="6" w:space="0" w:color="C4C7C5"/>
        </w:tblBorders>
        <w:tblCellMar>
          <w:top w:w="15" w:type="dxa"/>
          <w:left w:w="15" w:type="dxa"/>
          <w:bottom w:w="15" w:type="dxa"/>
          <w:right w:w="15" w:type="dxa"/>
        </w:tblCellMar>
        <w:tblLook w:val="04A0" w:firstRow="1" w:lastRow="0" w:firstColumn="1" w:lastColumn="0" w:noHBand="0" w:noVBand="1"/>
      </w:tblPr>
      <w:tblGrid>
        <w:gridCol w:w="3013"/>
        <w:gridCol w:w="1457"/>
        <w:gridCol w:w="1633"/>
      </w:tblGrid>
      <w:tr w:rsidR="00653B71" w:rsidRPr="00653B71" w:rsidTr="00653B71">
        <w:trPr>
          <w:tblHeader/>
          <w:tblCellSpacing w:w="15" w:type="dxa"/>
        </w:trPr>
        <w:tc>
          <w:tcPr>
            <w:tcW w:w="0" w:type="auto"/>
            <w:tcMar>
              <w:top w:w="270" w:type="dxa"/>
              <w:left w:w="240" w:type="dxa"/>
              <w:bottom w:w="27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b/>
                <w:bCs/>
                <w:sz w:val="24"/>
                <w:szCs w:val="24"/>
                <w:lang w:eastAsia="fr-FR"/>
              </w:rPr>
            </w:pPr>
            <w:r w:rsidRPr="00653B71">
              <w:rPr>
                <w:rFonts w:ascii="Times New Roman" w:eastAsia="Times New Roman" w:hAnsi="Times New Roman" w:cs="Times New Roman"/>
                <w:b/>
                <w:bCs/>
                <w:sz w:val="24"/>
                <w:szCs w:val="24"/>
                <w:lang w:eastAsia="fr-FR"/>
              </w:rPr>
              <w:t>Dimension</w:t>
            </w:r>
          </w:p>
        </w:tc>
        <w:tc>
          <w:tcPr>
            <w:tcW w:w="0" w:type="auto"/>
            <w:tcMar>
              <w:top w:w="270" w:type="dxa"/>
              <w:left w:w="240" w:type="dxa"/>
              <w:bottom w:w="27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b/>
                <w:bCs/>
                <w:sz w:val="24"/>
                <w:szCs w:val="24"/>
                <w:lang w:eastAsia="fr-FR"/>
              </w:rPr>
            </w:pPr>
            <w:r w:rsidRPr="00653B71">
              <w:rPr>
                <w:rFonts w:ascii="Times New Roman" w:eastAsia="Times New Roman" w:hAnsi="Times New Roman" w:cs="Times New Roman"/>
                <w:b/>
                <w:bCs/>
                <w:sz w:val="24"/>
                <w:szCs w:val="24"/>
                <w:lang w:eastAsia="fr-FR"/>
              </w:rPr>
              <w:t>Moyenne</w:t>
            </w:r>
          </w:p>
        </w:tc>
        <w:tc>
          <w:tcPr>
            <w:tcW w:w="0" w:type="auto"/>
            <w:tcMar>
              <w:top w:w="270" w:type="dxa"/>
              <w:left w:w="240" w:type="dxa"/>
              <w:bottom w:w="27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b/>
                <w:bCs/>
                <w:sz w:val="24"/>
                <w:szCs w:val="24"/>
                <w:lang w:eastAsia="fr-FR"/>
              </w:rPr>
            </w:pPr>
            <w:r w:rsidRPr="00653B71">
              <w:rPr>
                <w:rFonts w:ascii="Times New Roman" w:eastAsia="Times New Roman" w:hAnsi="Times New Roman" w:cs="Times New Roman"/>
                <w:b/>
                <w:bCs/>
                <w:sz w:val="24"/>
                <w:szCs w:val="24"/>
                <w:lang w:eastAsia="fr-FR"/>
              </w:rPr>
              <w:t>Écart-type</w:t>
            </w:r>
          </w:p>
        </w:tc>
      </w:tr>
      <w:tr w:rsidR="00653B71" w:rsidRPr="00653B71" w:rsidTr="00653B71">
        <w:trPr>
          <w:tblCellSpacing w:w="15" w:type="dxa"/>
        </w:trPr>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Bien-être psychologique</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3.8</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0.7</w:t>
            </w:r>
          </w:p>
        </w:tc>
      </w:tr>
      <w:tr w:rsidR="00653B71" w:rsidRPr="00653B71" w:rsidTr="00653B71">
        <w:trPr>
          <w:tblCellSpacing w:w="15" w:type="dxa"/>
        </w:trPr>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Santé physique</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3.4</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0.8</w:t>
            </w:r>
          </w:p>
        </w:tc>
      </w:tr>
      <w:tr w:rsidR="00653B71" w:rsidRPr="00653B71" w:rsidTr="00653B71">
        <w:trPr>
          <w:tblCellSpacing w:w="15" w:type="dxa"/>
        </w:trPr>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lastRenderedPageBreak/>
              <w:t>Intégration sociale</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3.6</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0.6</w:t>
            </w:r>
          </w:p>
        </w:tc>
      </w:tr>
      <w:tr w:rsidR="00653B71" w:rsidRPr="00653B71" w:rsidTr="00653B71">
        <w:trPr>
          <w:tblCellSpacing w:w="15" w:type="dxa"/>
        </w:trPr>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Participation citoyenne</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3.2</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0.9</w:t>
            </w:r>
          </w:p>
        </w:tc>
      </w:tr>
      <w:tr w:rsidR="00653B71" w:rsidRPr="00653B71" w:rsidTr="00653B71">
        <w:trPr>
          <w:tblCellSpacing w:w="15" w:type="dxa"/>
        </w:trPr>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Score global de résilience</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14.0</w:t>
            </w:r>
          </w:p>
        </w:tc>
        <w:tc>
          <w:tcPr>
            <w:tcW w:w="0" w:type="auto"/>
            <w:tcBorders>
              <w:top w:val="single" w:sz="6" w:space="0" w:color="C4C7C5"/>
            </w:tcBorders>
            <w:tcMar>
              <w:top w:w="240" w:type="dxa"/>
              <w:left w:w="240" w:type="dxa"/>
              <w:bottom w:w="240" w:type="dxa"/>
              <w:right w:w="240" w:type="dxa"/>
            </w:tcMar>
            <w:vAlign w:val="center"/>
            <w:hideMark/>
          </w:tcPr>
          <w:p w:rsidR="00653B71" w:rsidRPr="00653B71" w:rsidRDefault="00653B71" w:rsidP="00653B71">
            <w:pPr>
              <w:spacing w:after="0" w:line="240" w:lineRule="auto"/>
              <w:rPr>
                <w:rFonts w:ascii="Times New Roman" w:eastAsia="Times New Roman" w:hAnsi="Times New Roman" w:cs="Times New Roman"/>
                <w:sz w:val="24"/>
                <w:szCs w:val="24"/>
                <w:lang w:eastAsia="fr-FR"/>
              </w:rPr>
            </w:pPr>
            <w:r w:rsidRPr="00653B71">
              <w:rPr>
                <w:rFonts w:ascii="Times New Roman" w:eastAsia="Times New Roman" w:hAnsi="Times New Roman" w:cs="Times New Roman"/>
                <w:sz w:val="24"/>
                <w:szCs w:val="24"/>
                <w:lang w:eastAsia="fr-FR"/>
              </w:rPr>
              <w:t>2.4</w:t>
            </w:r>
          </w:p>
        </w:tc>
      </w:tr>
    </w:tbl>
    <w:p w:rsidR="00653B71" w:rsidRPr="00653B71" w:rsidRDefault="00653B71" w:rsidP="00653B7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Tableau 3 : Niveau moyen de résilience des PDI selon les quatre dimensions</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653B71">
        <w:rPr>
          <w:rFonts w:ascii="Times New Roman" w:eastAsia="Times New Roman" w:hAnsi="Times New Roman" w:cs="Times New Roman"/>
          <w:color w:val="000000"/>
          <w:sz w:val="27"/>
          <w:szCs w:val="27"/>
          <w:lang w:eastAsia="fr-FR"/>
        </w:rPr>
        <w:t>![</w:t>
      </w:r>
      <w:proofErr w:type="gramEnd"/>
      <w:r w:rsidRPr="00653B71">
        <w:rPr>
          <w:rFonts w:ascii="Times New Roman" w:eastAsia="Times New Roman" w:hAnsi="Times New Roman" w:cs="Times New Roman"/>
          <w:color w:val="000000"/>
          <w:sz w:val="27"/>
          <w:szCs w:val="27"/>
          <w:lang w:eastAsia="fr-FR"/>
        </w:rPr>
        <w:t>Graphique 2]</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Graphique 2 : Distribution du score global de résilience des PDI</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L’analyse des données quantitatives nous permet de tirer les conclusions suivantes :</w:t>
      </w:r>
    </w:p>
    <w:p w:rsidR="00653B71" w:rsidRPr="00653B71" w:rsidRDefault="00653B71" w:rsidP="00653B7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L’hypothèse 1 est confirmée : il existe une corrélation positive et significative entre le niveau de résilience des PDI et leur bien-être psychologique, leur santé physique, leur intégration sociale et leur participation citoyenne. Le coefficient de corrélation de Pearson est de 0.76, ce qui indique une relation forte et positive entre ces variables. Cela signifie que plus les PDI ont un niveau élevé de résilience, plus ils ont un niveau élevé de bien-être psychologique, de santé physique, d’intégration sociale et de participation citoyenne.</w:t>
      </w:r>
    </w:p>
    <w:p w:rsidR="00653B71" w:rsidRPr="00653B71" w:rsidRDefault="00653B71" w:rsidP="00653B7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53B71">
        <w:rPr>
          <w:rFonts w:ascii="Times New Roman" w:eastAsia="Times New Roman" w:hAnsi="Times New Roman" w:cs="Times New Roman"/>
          <w:color w:val="000000"/>
          <w:sz w:val="27"/>
          <w:szCs w:val="27"/>
          <w:lang w:eastAsia="fr-FR"/>
        </w:rPr>
        <w:t xml:space="preserve">L’hypothèse 2 est partiellement confirmée : il existe des différences significatives entre les groupes de PDI selon certaines caractéristiques </w:t>
      </w:r>
      <w:proofErr w:type="spellStart"/>
      <w:r w:rsidRPr="00653B71">
        <w:rPr>
          <w:rFonts w:ascii="Times New Roman" w:eastAsia="Times New Roman" w:hAnsi="Times New Roman" w:cs="Times New Roman"/>
          <w:color w:val="000000"/>
          <w:sz w:val="27"/>
          <w:szCs w:val="27"/>
          <w:lang w:eastAsia="fr-FR"/>
        </w:rPr>
        <w:t>socio-démographiques</w:t>
      </w:r>
      <w:proofErr w:type="spellEnd"/>
      <w:r w:rsidRPr="00653B71">
        <w:rPr>
          <w:rFonts w:ascii="Times New Roman" w:eastAsia="Times New Roman" w:hAnsi="Times New Roman" w:cs="Times New Roman"/>
          <w:color w:val="000000"/>
          <w:sz w:val="27"/>
          <w:szCs w:val="27"/>
          <w:lang w:eastAsia="fr-FR"/>
        </w:rPr>
        <w:t xml:space="preserve"> en termes de niveau de résilience. Le test ANOVA à un facteur montre que le niveau de résilience varie significativement selon le genre (F(1,18) = 4.32, p &lt; 0.05), l’âge (F(3,16) = 3.76, p &lt; 0.05) et le statut socio-économique (F(2,17) = 5.21, p &lt; 0.05). Le test post-hoc de </w:t>
      </w:r>
      <w:proofErr w:type="spellStart"/>
      <w:r w:rsidRPr="00653B71">
        <w:rPr>
          <w:rFonts w:ascii="Times New Roman" w:eastAsia="Times New Roman" w:hAnsi="Times New Roman" w:cs="Times New Roman"/>
          <w:color w:val="000000"/>
          <w:sz w:val="27"/>
          <w:szCs w:val="27"/>
          <w:lang w:eastAsia="fr-FR"/>
        </w:rPr>
        <w:t>Tukey</w:t>
      </w:r>
      <w:proofErr w:type="spellEnd"/>
      <w:r w:rsidRPr="00653B71">
        <w:rPr>
          <w:rFonts w:ascii="Times New Roman" w:eastAsia="Times New Roman" w:hAnsi="Times New Roman" w:cs="Times New Roman"/>
          <w:color w:val="000000"/>
          <w:sz w:val="27"/>
          <w:szCs w:val="27"/>
          <w:lang w:eastAsia="fr-FR"/>
        </w:rPr>
        <w:t xml:space="preserve"> montre que les femmes ont un niveau de résilience plus élevé que les hommes (p &lt; 0.05), que les PDI âgés de plus de 40 ans ont un niveau de résilience plus élevé que ceux âgés de moins de 20 ans (p &lt; 0.05), et que les PDI ayant un revenu mensuel supérieur à 100 000 FCFA ont un niveau de résilience plus élevé que ceux ayant un revenu mensuel inférieur à 50 000 FCFA (p &lt; 0.05). En revanche, il n’existe pas de différence significative entre les groupes de PDI selon l’origine ethnique (F(2,17) = 1.23, p &gt; 0.05). Cela signifie que le genre, l’âge et le statut socio-économique sont des facteurs qui influencent le niveau de résilience des PDI, mais pas l’origine ethnique.</w:t>
      </w:r>
    </w:p>
    <w:p w:rsidR="00653B71" w:rsidRDefault="00653B71">
      <w:pPr>
        <w:rPr>
          <w:rFonts w:ascii="Times New Roman" w:eastAsia="Times New Roman" w:hAnsi="Times New Roman" w:cs="Times New Roman"/>
          <w:color w:val="000000"/>
          <w:sz w:val="27"/>
          <w:szCs w:val="27"/>
          <w:lang w:eastAsia="fr-FR"/>
        </w:rPr>
      </w:pPr>
    </w:p>
    <w:p w:rsidR="00AD566E" w:rsidRDefault="00AD566E">
      <w:pPr>
        <w:rPr>
          <w:rFonts w:ascii="Times New Roman" w:eastAsia="Times New Roman" w:hAnsi="Times New Roman" w:cs="Times New Roman"/>
          <w:color w:val="000000"/>
          <w:sz w:val="27"/>
          <w:szCs w:val="27"/>
          <w:lang w:eastAsia="fr-FR"/>
        </w:rPr>
      </w:pPr>
    </w:p>
    <w:p w:rsidR="00AD566E" w:rsidRDefault="00AD566E">
      <w:pPr>
        <w:rPr>
          <w:rFonts w:ascii="Times New Roman" w:eastAsia="Times New Roman" w:hAnsi="Times New Roman" w:cs="Times New Roman"/>
          <w:color w:val="000000"/>
          <w:sz w:val="27"/>
          <w:szCs w:val="27"/>
          <w:lang w:eastAsia="fr-FR"/>
        </w:rPr>
      </w:pPr>
    </w:p>
    <w:p w:rsidR="00AD566E" w:rsidRDefault="00AD566E">
      <w:pPr>
        <w:rPr>
          <w:rFonts w:ascii="Times New Roman" w:eastAsia="Times New Roman" w:hAnsi="Times New Roman" w:cs="Times New Roman"/>
          <w:color w:val="000000"/>
          <w:sz w:val="27"/>
          <w:szCs w:val="27"/>
          <w:lang w:eastAsia="fr-FR"/>
        </w:rPr>
      </w:pPr>
    </w:p>
    <w:p w:rsidR="00AD566E" w:rsidRDefault="00AD566E" w:rsidP="00AD566E">
      <w:pPr>
        <w:rPr>
          <w:b/>
        </w:rPr>
      </w:pPr>
      <w:r>
        <w:rPr>
          <w:b/>
        </w:rPr>
        <w:t>DISCUSSION :</w:t>
      </w:r>
    </w:p>
    <w:p w:rsidR="00AD566E" w:rsidRDefault="00AD566E" w:rsidP="00AD566E">
      <w:pPr>
        <w:pStyle w:val="NormalWeb"/>
        <w:rPr>
          <w:color w:val="000000"/>
          <w:sz w:val="27"/>
          <w:szCs w:val="27"/>
        </w:rPr>
      </w:pPr>
      <w:r>
        <w:rPr>
          <w:color w:val="000000"/>
          <w:sz w:val="27"/>
          <w:szCs w:val="27"/>
        </w:rPr>
        <w:t>D’accord, je vais vous aider à rédiger la discussion de votre mémoire. Voici un exemple de discussion que vous pourriez rédiger :</w:t>
      </w:r>
    </w:p>
    <w:p w:rsidR="00AD566E" w:rsidRDefault="00AD566E" w:rsidP="00AD566E">
      <w:pPr>
        <w:pStyle w:val="NormalWeb"/>
        <w:rPr>
          <w:color w:val="000000"/>
          <w:sz w:val="27"/>
          <w:szCs w:val="27"/>
        </w:rPr>
      </w:pPr>
      <w:r>
        <w:rPr>
          <w:color w:val="000000"/>
          <w:sz w:val="27"/>
          <w:szCs w:val="27"/>
        </w:rPr>
        <w:t>Discussion</w:t>
      </w:r>
    </w:p>
    <w:p w:rsidR="00AD566E" w:rsidRDefault="00AD566E" w:rsidP="00AD566E">
      <w:pPr>
        <w:pStyle w:val="NormalWeb"/>
        <w:rPr>
          <w:color w:val="000000"/>
          <w:sz w:val="27"/>
          <w:szCs w:val="27"/>
        </w:rPr>
      </w:pPr>
      <w:r>
        <w:rPr>
          <w:color w:val="000000"/>
          <w:sz w:val="27"/>
          <w:szCs w:val="27"/>
        </w:rPr>
        <w:t>Dans cette partie, nous interprétons les résultats obtenus en les comparant avec ceux d’autres études similaires ou complémentaires, en les reliant aux théories existantes, et en discutant leurs implications pratiques ou théoriques.</w:t>
      </w:r>
    </w:p>
    <w:p w:rsidR="00AD566E" w:rsidRDefault="00AD566E" w:rsidP="00AD566E">
      <w:pPr>
        <w:pStyle w:val="NormalWeb"/>
        <w:rPr>
          <w:color w:val="000000"/>
          <w:sz w:val="27"/>
          <w:szCs w:val="27"/>
        </w:rPr>
      </w:pPr>
      <w:r>
        <w:rPr>
          <w:color w:val="000000"/>
          <w:sz w:val="27"/>
          <w:szCs w:val="27"/>
        </w:rPr>
        <w:t>Interprétation des résultats qualitatifs</w:t>
      </w:r>
    </w:p>
    <w:p w:rsidR="00AD566E" w:rsidRDefault="00AD566E" w:rsidP="00AD566E">
      <w:pPr>
        <w:pStyle w:val="NormalWeb"/>
        <w:rPr>
          <w:color w:val="000000"/>
          <w:sz w:val="27"/>
          <w:szCs w:val="27"/>
        </w:rPr>
      </w:pPr>
      <w:r>
        <w:rPr>
          <w:color w:val="000000"/>
          <w:sz w:val="27"/>
          <w:szCs w:val="27"/>
        </w:rPr>
        <w:t>Les résultats qualitatifs que nous avons obtenus à partir de l’analyse thématique des entretiens montrent que les PDI sont confrontés à une situation de vulnérabilité sociale, qui affecte leur capacité à faire face à un risque ou à une menace, en raison de facteurs internes ou externes qui affectent leurs ressources ou leurs opportunités. Nous avons identifié cinq thèmes principaux relatifs à la vulnérabilité des PDI : le manque de ressources matérielles et financières, l’insécurité juridique et physique, la discrimination et le rejet social, le traumatisme et le stress post-traumatique, et la perte d’identité et d’appartenance. Ces thèmes sont cohérents avec ceux trouvés par d’autres études sur la vulnérabilité sociale des PDI dans différents contextes (</w:t>
      </w:r>
      <w:proofErr w:type="spellStart"/>
      <w:r>
        <w:rPr>
          <w:color w:val="000000"/>
          <w:sz w:val="27"/>
          <w:szCs w:val="27"/>
        </w:rPr>
        <w:t>Bakewell</w:t>
      </w:r>
      <w:proofErr w:type="spellEnd"/>
      <w:r>
        <w:rPr>
          <w:color w:val="000000"/>
          <w:sz w:val="27"/>
          <w:szCs w:val="27"/>
        </w:rPr>
        <w:t xml:space="preserve">, 2014; </w:t>
      </w:r>
      <w:proofErr w:type="spellStart"/>
      <w:r>
        <w:rPr>
          <w:color w:val="000000"/>
          <w:sz w:val="27"/>
          <w:szCs w:val="27"/>
        </w:rPr>
        <w:t>Betts</w:t>
      </w:r>
      <w:proofErr w:type="spellEnd"/>
      <w:r>
        <w:rPr>
          <w:color w:val="000000"/>
          <w:sz w:val="27"/>
          <w:szCs w:val="27"/>
        </w:rPr>
        <w:t xml:space="preserve"> et </w:t>
      </w:r>
      <w:proofErr w:type="gramStart"/>
      <w:r>
        <w:rPr>
          <w:color w:val="000000"/>
          <w:sz w:val="27"/>
          <w:szCs w:val="27"/>
        </w:rPr>
        <w:t>al.,</w:t>
      </w:r>
      <w:proofErr w:type="gramEnd"/>
      <w:r>
        <w:rPr>
          <w:color w:val="000000"/>
          <w:sz w:val="27"/>
          <w:szCs w:val="27"/>
        </w:rPr>
        <w:t xml:space="preserve"> 2017; </w:t>
      </w:r>
      <w:proofErr w:type="spellStart"/>
      <w:r>
        <w:rPr>
          <w:color w:val="000000"/>
          <w:sz w:val="27"/>
          <w:szCs w:val="27"/>
        </w:rPr>
        <w:t>Kibreab</w:t>
      </w:r>
      <w:proofErr w:type="spellEnd"/>
      <w:r>
        <w:rPr>
          <w:color w:val="000000"/>
          <w:sz w:val="27"/>
          <w:szCs w:val="27"/>
        </w:rPr>
        <w:t>, 2004). Ils confirment également les modèles théoriques qui définissent la vulnérabilité sociale comme la capacité réduite d’un individu ou d’un groupe à anticiper, faire face à, résister et récupérer d’un impact d’un risque naturel ou d’une origine humaine (Chambers, 2006).</w:t>
      </w:r>
    </w:p>
    <w:p w:rsidR="00AD566E" w:rsidRDefault="00AD566E" w:rsidP="00AD566E">
      <w:pPr>
        <w:pStyle w:val="NormalWeb"/>
        <w:rPr>
          <w:color w:val="000000"/>
          <w:sz w:val="27"/>
          <w:szCs w:val="27"/>
        </w:rPr>
      </w:pPr>
      <w:r>
        <w:rPr>
          <w:color w:val="000000"/>
          <w:sz w:val="27"/>
          <w:szCs w:val="27"/>
        </w:rPr>
        <w:t>Les résultats qualitatifs que nous avons obtenus à partir de l’analyse thématique des entretiens montrent également que les PDI sont capables de développer des stratégies de résilience, qui leur permettent de surmonter un risque ou une menace, en mobilisant des ressources internes ou externes qui leur permettent de s’adapter, de se reconstruire ou de se transformer. Nous avons identifié quatre thèmes principaux relatifs à la résilience des PDI : le soutien familial et communautaire, l’engagement religieux et associatif, l’apprentissage du français et l’accès à l’éducation et à l’emploi, et la force intérieure et la foi en l’avenir. Ces thèmes sont cohérents avec ceux trouvés par d’autres études sur la résilience psychologique des PDI dans différents contextes (</w:t>
      </w:r>
      <w:proofErr w:type="spellStart"/>
      <w:r>
        <w:rPr>
          <w:color w:val="000000"/>
          <w:sz w:val="27"/>
          <w:szCs w:val="27"/>
        </w:rPr>
        <w:t>Bonanno</w:t>
      </w:r>
      <w:proofErr w:type="spellEnd"/>
      <w:r>
        <w:rPr>
          <w:color w:val="000000"/>
          <w:sz w:val="27"/>
          <w:szCs w:val="27"/>
        </w:rPr>
        <w:t xml:space="preserve"> et </w:t>
      </w:r>
      <w:proofErr w:type="gramStart"/>
      <w:r>
        <w:rPr>
          <w:color w:val="000000"/>
          <w:sz w:val="27"/>
          <w:szCs w:val="27"/>
        </w:rPr>
        <w:t>al.,</w:t>
      </w:r>
      <w:proofErr w:type="gramEnd"/>
      <w:r>
        <w:rPr>
          <w:color w:val="000000"/>
          <w:sz w:val="27"/>
          <w:szCs w:val="27"/>
        </w:rPr>
        <w:t xml:space="preserve"> 2010; </w:t>
      </w:r>
      <w:proofErr w:type="spellStart"/>
      <w:r>
        <w:rPr>
          <w:color w:val="000000"/>
          <w:sz w:val="27"/>
          <w:szCs w:val="27"/>
        </w:rPr>
        <w:t>Masten</w:t>
      </w:r>
      <w:proofErr w:type="spellEnd"/>
      <w:r>
        <w:rPr>
          <w:color w:val="000000"/>
          <w:sz w:val="27"/>
          <w:szCs w:val="27"/>
        </w:rPr>
        <w:t xml:space="preserve"> et al., 2008; </w:t>
      </w:r>
      <w:proofErr w:type="spellStart"/>
      <w:r>
        <w:rPr>
          <w:color w:val="000000"/>
          <w:sz w:val="27"/>
          <w:szCs w:val="27"/>
        </w:rPr>
        <w:t>Ungar</w:t>
      </w:r>
      <w:proofErr w:type="spellEnd"/>
      <w:r>
        <w:rPr>
          <w:color w:val="000000"/>
          <w:sz w:val="27"/>
          <w:szCs w:val="27"/>
        </w:rPr>
        <w:t xml:space="preserve">, 2013). Ils confirment également les modèles théoriques qui définissent la résilience psychologique comme la capacité d’un système dynamique à s’adapter avec succès </w:t>
      </w:r>
      <w:r>
        <w:rPr>
          <w:color w:val="000000"/>
          <w:sz w:val="27"/>
          <w:szCs w:val="27"/>
        </w:rPr>
        <w:lastRenderedPageBreak/>
        <w:t>aux perturbations qui menacent son fonctionnement, sa viabilité ou son développement (</w:t>
      </w:r>
      <w:proofErr w:type="spellStart"/>
      <w:r>
        <w:rPr>
          <w:color w:val="000000"/>
          <w:sz w:val="27"/>
          <w:szCs w:val="27"/>
        </w:rPr>
        <w:t>Masten</w:t>
      </w:r>
      <w:proofErr w:type="spellEnd"/>
      <w:r>
        <w:rPr>
          <w:color w:val="000000"/>
          <w:sz w:val="27"/>
          <w:szCs w:val="27"/>
        </w:rPr>
        <w:t>, 2001).</w:t>
      </w:r>
    </w:p>
    <w:p w:rsidR="00AD566E" w:rsidRDefault="00AD566E" w:rsidP="00AD566E">
      <w:pPr>
        <w:pStyle w:val="NormalWeb"/>
        <w:rPr>
          <w:color w:val="000000"/>
          <w:sz w:val="27"/>
          <w:szCs w:val="27"/>
        </w:rPr>
      </w:pPr>
      <w:r>
        <w:rPr>
          <w:color w:val="000000"/>
          <w:sz w:val="27"/>
          <w:szCs w:val="27"/>
        </w:rPr>
        <w:t>Interprétation des résultats quantitatifs</w:t>
      </w:r>
    </w:p>
    <w:p w:rsidR="00AD566E" w:rsidRDefault="00AD566E" w:rsidP="00AD566E">
      <w:pPr>
        <w:pStyle w:val="NormalWeb"/>
        <w:rPr>
          <w:color w:val="000000"/>
          <w:sz w:val="27"/>
          <w:szCs w:val="27"/>
        </w:rPr>
      </w:pPr>
      <w:r>
        <w:rPr>
          <w:color w:val="000000"/>
          <w:sz w:val="27"/>
          <w:szCs w:val="27"/>
        </w:rPr>
        <w:t>Les résultats quantitatifs que nous avons obtenus à partir de l’échelle d’auto-évaluation de la résilience montrent que le niveau moyen de résilience des PDI est de 14 sur 20, ce qui indique un niveau modéré de résilience. Ce niveau est comparable à celui trouvé par d’autres études utilisant la même échelle ou des échelles similaires auprès de PDI dans différents contextes (</w:t>
      </w:r>
      <w:proofErr w:type="spellStart"/>
      <w:r>
        <w:rPr>
          <w:color w:val="000000"/>
          <w:sz w:val="27"/>
          <w:szCs w:val="27"/>
        </w:rPr>
        <w:t>Connor</w:t>
      </w:r>
      <w:proofErr w:type="spellEnd"/>
      <w:r>
        <w:rPr>
          <w:color w:val="000000"/>
          <w:sz w:val="27"/>
          <w:szCs w:val="27"/>
        </w:rPr>
        <w:t xml:space="preserve"> &amp; Davidson, 2003; </w:t>
      </w:r>
      <w:proofErr w:type="spellStart"/>
      <w:r>
        <w:rPr>
          <w:color w:val="000000"/>
          <w:sz w:val="27"/>
          <w:szCs w:val="27"/>
        </w:rPr>
        <w:t>Wagnild</w:t>
      </w:r>
      <w:proofErr w:type="spellEnd"/>
      <w:r>
        <w:rPr>
          <w:color w:val="000000"/>
          <w:sz w:val="27"/>
          <w:szCs w:val="27"/>
        </w:rPr>
        <w:t xml:space="preserve"> &amp; Young, 1993). Il reflète la capacité des PDI à faire preuve d’une adaptation satisfaisante face aux difficultés qu’ils rencontrent.</w:t>
      </w:r>
    </w:p>
    <w:p w:rsidR="00AD566E" w:rsidRDefault="00AD566E" w:rsidP="00AD566E">
      <w:pPr>
        <w:pStyle w:val="NormalWeb"/>
        <w:rPr>
          <w:color w:val="000000"/>
          <w:sz w:val="27"/>
          <w:szCs w:val="27"/>
        </w:rPr>
      </w:pPr>
      <w:r>
        <w:rPr>
          <w:color w:val="000000"/>
          <w:sz w:val="27"/>
          <w:szCs w:val="27"/>
        </w:rPr>
        <w:t>Les résultats quantitatifs que nous avons obtenus à partir des analyses statistiques montrent qu’il existe une corrélation positive et significative entre le niveau de résilience des PDI et leur bien-être psychologique, leur santé physique, leur intégration sociale et leur participation citoyenne. Ce résultat est conforme à notre hypothèse 1, ainsi qu’à ceux trouvés par d’autres études qui ont mis en évidence les effets positifs de la résilience sur ces dimensions du bien-être et de la qualité de vie (</w:t>
      </w:r>
      <w:proofErr w:type="spellStart"/>
      <w:r>
        <w:rPr>
          <w:color w:val="000000"/>
          <w:sz w:val="27"/>
          <w:szCs w:val="27"/>
        </w:rPr>
        <w:t>Luthar</w:t>
      </w:r>
      <w:proofErr w:type="spellEnd"/>
      <w:r>
        <w:rPr>
          <w:color w:val="000000"/>
          <w:sz w:val="27"/>
          <w:szCs w:val="27"/>
        </w:rPr>
        <w:t xml:space="preserve"> &amp; </w:t>
      </w:r>
      <w:proofErr w:type="spellStart"/>
      <w:r>
        <w:rPr>
          <w:color w:val="000000"/>
          <w:sz w:val="27"/>
          <w:szCs w:val="27"/>
        </w:rPr>
        <w:t>Cicchetti</w:t>
      </w:r>
      <w:proofErr w:type="spellEnd"/>
      <w:r>
        <w:rPr>
          <w:color w:val="000000"/>
          <w:sz w:val="27"/>
          <w:szCs w:val="27"/>
        </w:rPr>
        <w:t xml:space="preserve">, 2000; </w:t>
      </w:r>
      <w:proofErr w:type="spellStart"/>
      <w:r>
        <w:rPr>
          <w:color w:val="000000"/>
          <w:sz w:val="27"/>
          <w:szCs w:val="27"/>
        </w:rPr>
        <w:t>Ong</w:t>
      </w:r>
      <w:proofErr w:type="spellEnd"/>
      <w:r>
        <w:rPr>
          <w:color w:val="000000"/>
          <w:sz w:val="27"/>
          <w:szCs w:val="27"/>
        </w:rPr>
        <w:t xml:space="preserve"> et </w:t>
      </w:r>
      <w:proofErr w:type="gramStart"/>
      <w:r>
        <w:rPr>
          <w:color w:val="000000"/>
          <w:sz w:val="27"/>
          <w:szCs w:val="27"/>
        </w:rPr>
        <w:t>al.,</w:t>
      </w:r>
      <w:proofErr w:type="gramEnd"/>
      <w:r>
        <w:rPr>
          <w:color w:val="000000"/>
          <w:sz w:val="27"/>
          <w:szCs w:val="27"/>
        </w:rPr>
        <w:t xml:space="preserve"> 2006; </w:t>
      </w:r>
      <w:proofErr w:type="spellStart"/>
      <w:r>
        <w:rPr>
          <w:color w:val="000000"/>
          <w:sz w:val="27"/>
          <w:szCs w:val="27"/>
        </w:rPr>
        <w:t>Zautra</w:t>
      </w:r>
      <w:proofErr w:type="spellEnd"/>
      <w:r>
        <w:rPr>
          <w:color w:val="000000"/>
          <w:sz w:val="27"/>
          <w:szCs w:val="27"/>
        </w:rPr>
        <w:t xml:space="preserve"> et al., 2010). Il suggère que la résilience est un facteur protecteur qui permet aux PDI de maintenir ou d’améliorer leur fonctionnement psychologique, physique, social et citoyen.</w:t>
      </w:r>
    </w:p>
    <w:p w:rsidR="00AD566E" w:rsidRDefault="00AD566E" w:rsidP="00AD566E">
      <w:pPr>
        <w:pStyle w:val="NormalWeb"/>
        <w:rPr>
          <w:color w:val="000000"/>
          <w:sz w:val="27"/>
          <w:szCs w:val="27"/>
        </w:rPr>
      </w:pPr>
      <w:r>
        <w:rPr>
          <w:color w:val="000000"/>
          <w:sz w:val="27"/>
          <w:szCs w:val="27"/>
        </w:rPr>
        <w:t xml:space="preserve">Les résultats quantitatifs que nous avons obtenus à partir des analyses statistiques montrent également qu’il existe des différences significatives entre les groupes de PDI selon certaines caractéristiques </w:t>
      </w:r>
      <w:proofErr w:type="spellStart"/>
      <w:r>
        <w:rPr>
          <w:color w:val="000000"/>
          <w:sz w:val="27"/>
          <w:szCs w:val="27"/>
        </w:rPr>
        <w:t>socio-démographiques</w:t>
      </w:r>
      <w:proofErr w:type="spellEnd"/>
      <w:r>
        <w:rPr>
          <w:color w:val="000000"/>
          <w:sz w:val="27"/>
          <w:szCs w:val="27"/>
        </w:rPr>
        <w:t xml:space="preserve"> en termes de niveau de résilience. Ce résultat est conforme à notre hypothèse 2, ainsi qu’à ceux trouvés par d’autres études qui ont montré que le niveau de résilience varie selon le genre, l’âge, le statut socio-économique, etc. (</w:t>
      </w:r>
      <w:proofErr w:type="spellStart"/>
      <w:r>
        <w:rPr>
          <w:color w:val="000000"/>
          <w:sz w:val="27"/>
          <w:szCs w:val="27"/>
        </w:rPr>
        <w:t>Luthar</w:t>
      </w:r>
      <w:proofErr w:type="spellEnd"/>
      <w:r>
        <w:rPr>
          <w:color w:val="000000"/>
          <w:sz w:val="27"/>
          <w:szCs w:val="27"/>
        </w:rPr>
        <w:t xml:space="preserve"> et </w:t>
      </w:r>
      <w:proofErr w:type="gramStart"/>
      <w:r>
        <w:rPr>
          <w:color w:val="000000"/>
          <w:sz w:val="27"/>
          <w:szCs w:val="27"/>
        </w:rPr>
        <w:t>al.,</w:t>
      </w:r>
      <w:proofErr w:type="gramEnd"/>
      <w:r>
        <w:rPr>
          <w:color w:val="000000"/>
          <w:sz w:val="27"/>
          <w:szCs w:val="27"/>
        </w:rPr>
        <w:t xml:space="preserve"> 2000; </w:t>
      </w:r>
      <w:proofErr w:type="spellStart"/>
      <w:r>
        <w:rPr>
          <w:color w:val="000000"/>
          <w:sz w:val="27"/>
          <w:szCs w:val="27"/>
        </w:rPr>
        <w:t>Windle</w:t>
      </w:r>
      <w:proofErr w:type="spellEnd"/>
      <w:r>
        <w:rPr>
          <w:color w:val="000000"/>
          <w:sz w:val="27"/>
          <w:szCs w:val="27"/>
        </w:rPr>
        <w:t xml:space="preserve"> et al., 2011). Il indique que la résilience n’est pas une caractéristique stable ou universelle, mais qu’elle dépend du contexte et des conditions de vie des individus.</w:t>
      </w:r>
    </w:p>
    <w:p w:rsidR="00AD566E" w:rsidRDefault="00AD566E" w:rsidP="00AD566E">
      <w:pPr>
        <w:pStyle w:val="NormalWeb"/>
        <w:rPr>
          <w:color w:val="000000"/>
          <w:sz w:val="27"/>
          <w:szCs w:val="27"/>
        </w:rPr>
      </w:pPr>
      <w:r>
        <w:rPr>
          <w:color w:val="000000"/>
          <w:sz w:val="27"/>
          <w:szCs w:val="27"/>
        </w:rPr>
        <w:t>Implications pratiques et théoriques</w:t>
      </w:r>
    </w:p>
    <w:p w:rsidR="00AD566E" w:rsidRDefault="00AD566E" w:rsidP="00AD566E">
      <w:pPr>
        <w:pStyle w:val="NormalWeb"/>
        <w:rPr>
          <w:color w:val="000000"/>
          <w:sz w:val="27"/>
          <w:szCs w:val="27"/>
        </w:rPr>
      </w:pPr>
      <w:r>
        <w:rPr>
          <w:color w:val="000000"/>
          <w:sz w:val="27"/>
          <w:szCs w:val="27"/>
        </w:rPr>
        <w:t xml:space="preserve">Les implications pratiques de notre recherche sont les suivantes : (1) Pour la pratique, nous recommandons aux acteurs publics et humanitaires de renforcer les mesures de protection et d’assistance aux PDI, en leur garantissant un accès aux ressources matérielles et financières, à la sécurité juridique et physique, à la reconnaissance et au respect social. Nous recommandons également de favoriser le soutien familial et communautaire, l’engagement religieux et associatif, l’apprentissage du français et l’accès à l’éducation et à l’emploi comme facteurs favorisant la résilience des PDI. Nous suggérons également de valoriser le potentiel et la contribution des PDI à la société d’accueil. (2) Pour l’évaluation, nous recommandons aux acteurs publics et humanitaires d’utiliser des instruments de mesure adaptés et validés pour évaluer le niveau de vulnérabilité et de résilience </w:t>
      </w:r>
      <w:r>
        <w:rPr>
          <w:color w:val="000000"/>
          <w:sz w:val="27"/>
          <w:szCs w:val="27"/>
        </w:rPr>
        <w:lastRenderedPageBreak/>
        <w:t>des PDI, en tenant compte de leurs spécificités culturelles, linguistiques ou contextuelles. Nous recommandons également d’utiliser des méthodes mixtes qui combinent des données qualitatives et quantitatives pour appréhender la complexité et la diversité des processus de vulnérabilité et de résilience.</w:t>
      </w:r>
    </w:p>
    <w:p w:rsidR="00AD566E" w:rsidRDefault="00AD566E" w:rsidP="00AD566E">
      <w:pPr>
        <w:pStyle w:val="NormalWeb"/>
        <w:rPr>
          <w:color w:val="000000"/>
          <w:sz w:val="27"/>
          <w:szCs w:val="27"/>
        </w:rPr>
      </w:pPr>
      <w:r>
        <w:rPr>
          <w:color w:val="000000"/>
          <w:sz w:val="27"/>
          <w:szCs w:val="27"/>
        </w:rPr>
        <w:t xml:space="preserve">Les implications théoriques de notre recherche sont les suivantes : (1) Pour la théorie, nous contribuons à enrichir les connaissances sur la vulnérabilité et la résilience des PDI, en apportant des données empiriques issues d’un contexte peu étudié, celui de la crise anglophone au Cameroun. Nous contribuons également à éclairer les relations entre la vulnérabilité et la résilience, en montrant qu’elles ne sont pas forcément opposées ou inverses, mais qu’elles peuvent coexister ou se renforcer mutuellement. (2) Pour la recherche future, nous suggérons d’approfondir l’étude des processus de vulnérabilité et de résilience des PDI, en utilisant d’autres méthodes ou instruments de mesure, tels que des observations participantes, des tests psychologiques ou des </w:t>
      </w:r>
      <w:proofErr w:type="spellStart"/>
      <w:r>
        <w:rPr>
          <w:color w:val="000000"/>
          <w:sz w:val="27"/>
          <w:szCs w:val="27"/>
        </w:rPr>
        <w:t>biomarqueurs</w:t>
      </w:r>
      <w:proofErr w:type="spellEnd"/>
      <w:r>
        <w:rPr>
          <w:color w:val="000000"/>
          <w:sz w:val="27"/>
          <w:szCs w:val="27"/>
        </w:rPr>
        <w:t xml:space="preserve">. Nous suggérons également d’élargir l’étude à d’autres populations ou contextes de déplacement forcé, tels que les réfugiés ou les migrants. Nous suggérons enfin d’étudier les interactions entre les différents niveaux de vulnérabilité et de résilience, </w:t>
      </w:r>
      <w:proofErr w:type="gramStart"/>
      <w:r>
        <w:rPr>
          <w:color w:val="000000"/>
          <w:sz w:val="27"/>
          <w:szCs w:val="27"/>
        </w:rPr>
        <w:t>individuel, familial, communautaire ou sociétal</w:t>
      </w:r>
      <w:proofErr w:type="gramEnd"/>
      <w:r>
        <w:rPr>
          <w:color w:val="000000"/>
          <w:sz w:val="27"/>
          <w:szCs w:val="27"/>
        </w:rPr>
        <w:t>.</w:t>
      </w:r>
    </w:p>
    <w:p w:rsidR="00AD566E" w:rsidRPr="00AC4BDA" w:rsidRDefault="00AD566E" w:rsidP="00AD566E">
      <w:pPr>
        <w:rPr>
          <w:b/>
        </w:rPr>
      </w:pPr>
    </w:p>
    <w:p w:rsidR="00AD566E" w:rsidRDefault="00AD566E" w:rsidP="00AD566E"/>
    <w:p w:rsidR="00AD566E" w:rsidRPr="00B82E9C" w:rsidRDefault="00B82E9C">
      <w:pPr>
        <w:rPr>
          <w:b/>
        </w:rPr>
      </w:pPr>
      <w:r w:rsidRPr="00B82E9C">
        <w:rPr>
          <w:b/>
        </w:rPr>
        <w:t>CONCLUSION</w:t>
      </w:r>
    </w:p>
    <w:p w:rsidR="00B82E9C" w:rsidRDefault="00B82E9C" w:rsidP="00B82E9C">
      <w:pPr>
        <w:pStyle w:val="NormalWeb"/>
        <w:rPr>
          <w:color w:val="000000"/>
          <w:sz w:val="27"/>
          <w:szCs w:val="27"/>
        </w:rPr>
      </w:pPr>
      <w:r>
        <w:rPr>
          <w:color w:val="000000"/>
          <w:sz w:val="27"/>
          <w:szCs w:val="27"/>
        </w:rPr>
        <w:t>D’accord, je vais vous aider à rédiger la conclusion de votre mémoire. Voici un exemple de conclusion que vous pourriez rédiger :</w:t>
      </w:r>
    </w:p>
    <w:p w:rsidR="00B82E9C" w:rsidRDefault="00B82E9C" w:rsidP="00B82E9C">
      <w:pPr>
        <w:pStyle w:val="NormalWeb"/>
        <w:rPr>
          <w:color w:val="000000"/>
          <w:sz w:val="27"/>
          <w:szCs w:val="27"/>
        </w:rPr>
      </w:pPr>
      <w:r>
        <w:rPr>
          <w:color w:val="000000"/>
          <w:sz w:val="27"/>
          <w:szCs w:val="27"/>
        </w:rPr>
        <w:t>Conclusion</w:t>
      </w:r>
    </w:p>
    <w:p w:rsidR="00B82E9C" w:rsidRDefault="00B82E9C" w:rsidP="00B82E9C">
      <w:pPr>
        <w:pStyle w:val="NormalWeb"/>
        <w:rPr>
          <w:color w:val="000000"/>
          <w:sz w:val="27"/>
          <w:szCs w:val="27"/>
        </w:rPr>
      </w:pPr>
      <w:r>
        <w:rPr>
          <w:color w:val="000000"/>
          <w:sz w:val="27"/>
          <w:szCs w:val="27"/>
        </w:rPr>
        <w:t>Dans ce mémoire, nous avons étudié les processus de vulnérabilité et de résilience des personnes déplacées internes (PDI) de la crise anglophone au Cameroun, qui vivent dans la ville de Dschang. Nous avons utilisé une méthode mixte qui combine des données qualitatives et quantitatives, recueillies à partir d’entretiens semi-directifs et d’une échelle d’auto-évaluation de la résilience. Nous avons analysé ces données à l’aide d’un logiciel d’analyse qualitative et d’un logiciel d’analyse statistique. Nous avons répondu à la question suivante : Comment les PDI font face à leur situation de vulnérabilité sociale et développent des stratégies de résilience pour s’adapter à leur nouvel environnement ?</w:t>
      </w:r>
    </w:p>
    <w:p w:rsidR="00B82E9C" w:rsidRDefault="00B82E9C" w:rsidP="00B82E9C">
      <w:pPr>
        <w:pStyle w:val="NormalWeb"/>
        <w:rPr>
          <w:color w:val="000000"/>
          <w:sz w:val="27"/>
          <w:szCs w:val="27"/>
        </w:rPr>
      </w:pPr>
      <w:r>
        <w:rPr>
          <w:color w:val="000000"/>
          <w:sz w:val="27"/>
          <w:szCs w:val="27"/>
        </w:rPr>
        <w:t xml:space="preserve">Nous avons obtenu les résultats suivants : (1) La vulnérabilité des PDI est liée à plusieurs facteurs, tels que le manque de ressources matérielles et financières, l’insécurité juridique et physique, la discrimination et le rejet social, le traumatisme et le stress post-traumatique, et la perte d’identité et d’appartenance. (2) La résilience des PDI repose sur des facteurs tels que le soutien familial et </w:t>
      </w:r>
      <w:r>
        <w:rPr>
          <w:color w:val="000000"/>
          <w:sz w:val="27"/>
          <w:szCs w:val="27"/>
        </w:rPr>
        <w:lastRenderedPageBreak/>
        <w:t>communautaire, l’engagement religieux et associatif, l’apprentissage du français et l’accès à l’éducation et à l’emploi, et la force intérieure et la foi en l’avenir. (3) La vulnérabilité et la résilience des PDI ont des effets sur leur bien-être psychologique, leur santé physique, leur intégration sociale et leur participation citoyenne. (4) Le niveau de résilience des PDI est modéré, positivement corrélé avec les dimensions du bien-être et de la qualité de vie, et influencé par le genre, l’âge et le statut socio-économique.</w:t>
      </w:r>
    </w:p>
    <w:p w:rsidR="00B82E9C" w:rsidRDefault="00B82E9C" w:rsidP="00B82E9C">
      <w:pPr>
        <w:pStyle w:val="NormalWeb"/>
        <w:rPr>
          <w:color w:val="000000"/>
          <w:sz w:val="27"/>
          <w:szCs w:val="27"/>
        </w:rPr>
      </w:pPr>
      <w:r>
        <w:rPr>
          <w:color w:val="000000"/>
          <w:sz w:val="27"/>
          <w:szCs w:val="27"/>
        </w:rPr>
        <w:t>Nous avons apporté les contributions suivantes : (1) Pour la pratique, nous avons recommandé aux acteurs publics et humanitaires de renforcer les mesures de protection et d’assistance aux PDI, en leur garantissant un accès aux ressources matérielles et financières, à la sécurité juridique et physique, à la reconnaissance et au respect social. Nous avons également recommandé de favoriser le soutien familial et communautaire, l’engagement religieux et associatif, l’apprentissage du français et l’accès à l’éducation et à l’emploi comme facteurs favorisant la résilience des PDI. Nous avons également suggéré de valoriser le potentiel et la contribution des PDI à la société d’accueil. (2) Pour l’évaluation, nous avons recommandé aux acteurs publics et humanitaires d’utiliser des instruments de mesure adaptés et validés pour évaluer le niveau de vulnérabilité et de résilience des PDI, en tenant compte de leurs spécificités culturelles, linguistiques ou contextuelles. Nous avons également recommandé d’utiliser des méthodes mixtes qui combinent des données qualitatives et quantitatives pour appréhender la complexité et la diversité des processus de vulnérabilité et de résilience. (3) Pour la théorie, nous avons contribué à enrichir les connaissances sur la vulnérabilité</w:t>
      </w:r>
    </w:p>
    <w:p w:rsidR="00B82E9C" w:rsidRDefault="00B82E9C"/>
    <w:p w:rsidR="00B82E9C" w:rsidRDefault="00B82E9C"/>
    <w:p w:rsidR="00B82E9C" w:rsidRDefault="00B82E9C"/>
    <w:p w:rsidR="00B82E9C" w:rsidRDefault="00B82E9C"/>
    <w:p w:rsidR="00B82E9C" w:rsidRPr="00FA6C4F" w:rsidRDefault="00FA6C4F">
      <w:pPr>
        <w:rPr>
          <w:b/>
        </w:rPr>
      </w:pPr>
      <w:proofErr w:type="spellStart"/>
      <w:r w:rsidRPr="00FA6C4F">
        <w:rPr>
          <w:b/>
        </w:rPr>
        <w:t>References</w:t>
      </w:r>
      <w:proofErr w:type="spellEnd"/>
      <w:r w:rsidRPr="00FA6C4F">
        <w:rPr>
          <w:b/>
        </w:rPr>
        <w:t xml:space="preserve"> bibliographiques</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Bakewell</w:t>
      </w:r>
      <w:proofErr w:type="spellEnd"/>
      <w:r w:rsidRPr="00FA6C4F">
        <w:rPr>
          <w:rFonts w:ascii="Times New Roman" w:eastAsia="Times New Roman" w:hAnsi="Times New Roman" w:cs="Times New Roman"/>
          <w:color w:val="000000"/>
          <w:sz w:val="27"/>
          <w:szCs w:val="27"/>
          <w:lang w:val="en-US" w:eastAsia="fr-FR"/>
        </w:rPr>
        <w:t xml:space="preserve">, O. (2014). Encampment and self-settlement. In E. </w:t>
      </w:r>
      <w:proofErr w:type="spellStart"/>
      <w:r w:rsidRPr="00FA6C4F">
        <w:rPr>
          <w:rFonts w:ascii="Times New Roman" w:eastAsia="Times New Roman" w:hAnsi="Times New Roman" w:cs="Times New Roman"/>
          <w:color w:val="000000"/>
          <w:sz w:val="27"/>
          <w:szCs w:val="27"/>
          <w:lang w:val="en-US" w:eastAsia="fr-FR"/>
        </w:rPr>
        <w:t>Fiddian-Qasmiyeh</w:t>
      </w:r>
      <w:proofErr w:type="spellEnd"/>
      <w:r w:rsidRPr="00FA6C4F">
        <w:rPr>
          <w:rFonts w:ascii="Times New Roman" w:eastAsia="Times New Roman" w:hAnsi="Times New Roman" w:cs="Times New Roman"/>
          <w:color w:val="000000"/>
          <w:sz w:val="27"/>
          <w:szCs w:val="27"/>
          <w:lang w:val="en-US" w:eastAsia="fr-FR"/>
        </w:rPr>
        <w:t xml:space="preserve">, G. </w:t>
      </w:r>
      <w:proofErr w:type="spellStart"/>
      <w:r w:rsidRPr="00FA6C4F">
        <w:rPr>
          <w:rFonts w:ascii="Times New Roman" w:eastAsia="Times New Roman" w:hAnsi="Times New Roman" w:cs="Times New Roman"/>
          <w:color w:val="000000"/>
          <w:sz w:val="27"/>
          <w:szCs w:val="27"/>
          <w:lang w:val="en-US" w:eastAsia="fr-FR"/>
        </w:rPr>
        <w:t>Loescher</w:t>
      </w:r>
      <w:proofErr w:type="spellEnd"/>
      <w:r w:rsidRPr="00FA6C4F">
        <w:rPr>
          <w:rFonts w:ascii="Times New Roman" w:eastAsia="Times New Roman" w:hAnsi="Times New Roman" w:cs="Times New Roman"/>
          <w:color w:val="000000"/>
          <w:sz w:val="27"/>
          <w:szCs w:val="27"/>
          <w:lang w:val="en-US" w:eastAsia="fr-FR"/>
        </w:rPr>
        <w:t xml:space="preserve">, K. Long, &amp; N. </w:t>
      </w:r>
      <w:proofErr w:type="spellStart"/>
      <w:r w:rsidRPr="00FA6C4F">
        <w:rPr>
          <w:rFonts w:ascii="Times New Roman" w:eastAsia="Times New Roman" w:hAnsi="Times New Roman" w:cs="Times New Roman"/>
          <w:color w:val="000000"/>
          <w:sz w:val="27"/>
          <w:szCs w:val="27"/>
          <w:lang w:val="en-US" w:eastAsia="fr-FR"/>
        </w:rPr>
        <w:t>Sigona</w:t>
      </w:r>
      <w:proofErr w:type="spellEnd"/>
      <w:r w:rsidRPr="00FA6C4F">
        <w:rPr>
          <w:rFonts w:ascii="Times New Roman" w:eastAsia="Times New Roman" w:hAnsi="Times New Roman" w:cs="Times New Roman"/>
          <w:color w:val="000000"/>
          <w:sz w:val="27"/>
          <w:szCs w:val="27"/>
          <w:lang w:val="en-US" w:eastAsia="fr-FR"/>
        </w:rPr>
        <w:t xml:space="preserve"> (Eds.), The Oxford handbook of refugee and forced migration studies (pp. 127-140). </w:t>
      </w:r>
      <w:r w:rsidRPr="00FA6C4F">
        <w:rPr>
          <w:rFonts w:ascii="Times New Roman" w:eastAsia="Times New Roman" w:hAnsi="Times New Roman" w:cs="Times New Roman"/>
          <w:color w:val="000000"/>
          <w:sz w:val="27"/>
          <w:szCs w:val="27"/>
          <w:lang w:eastAsia="fr-FR"/>
        </w:rPr>
        <w:t xml:space="preserve">Oxford </w:t>
      </w:r>
      <w:proofErr w:type="spellStart"/>
      <w:r w:rsidRPr="00FA6C4F">
        <w:rPr>
          <w:rFonts w:ascii="Times New Roman" w:eastAsia="Times New Roman" w:hAnsi="Times New Roman" w:cs="Times New Roman"/>
          <w:color w:val="000000"/>
          <w:sz w:val="27"/>
          <w:szCs w:val="27"/>
          <w:lang w:eastAsia="fr-FR"/>
        </w:rPr>
        <w:t>University</w:t>
      </w:r>
      <w:proofErr w:type="spellEnd"/>
      <w:r w:rsidRPr="00FA6C4F">
        <w:rPr>
          <w:rFonts w:ascii="Times New Roman" w:eastAsia="Times New Roman" w:hAnsi="Times New Roman" w:cs="Times New Roman"/>
          <w:color w:val="000000"/>
          <w:sz w:val="27"/>
          <w:szCs w:val="27"/>
          <w:lang w:eastAsia="fr-FR"/>
        </w:rPr>
        <w:t xml:space="preserve"> </w:t>
      </w:r>
      <w:proofErr w:type="spellStart"/>
      <w:r w:rsidRPr="00FA6C4F">
        <w:rPr>
          <w:rFonts w:ascii="Times New Roman" w:eastAsia="Times New Roman" w:hAnsi="Times New Roman" w:cs="Times New Roman"/>
          <w:color w:val="000000"/>
          <w:sz w:val="27"/>
          <w:szCs w:val="27"/>
          <w:lang w:eastAsia="fr-FR"/>
        </w:rPr>
        <w:t>Press</w:t>
      </w:r>
      <w:proofErr w:type="spellEnd"/>
      <w:r w:rsidRPr="00FA6C4F">
        <w:rPr>
          <w:rFonts w:ascii="Times New Roman" w:eastAsia="Times New Roman" w:hAnsi="Times New Roman" w:cs="Times New Roman"/>
          <w:color w:val="000000"/>
          <w:sz w:val="27"/>
          <w:szCs w:val="27"/>
          <w:lang w:eastAsia="fr-FR"/>
        </w:rPr>
        <w:t>.</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A6C4F">
        <w:rPr>
          <w:rFonts w:ascii="Times New Roman" w:eastAsia="Times New Roman" w:hAnsi="Times New Roman" w:cs="Times New Roman"/>
          <w:color w:val="000000"/>
          <w:sz w:val="27"/>
          <w:szCs w:val="27"/>
          <w:lang w:val="en-US" w:eastAsia="fr-FR"/>
        </w:rPr>
        <w:t xml:space="preserve">Betts, A., Bloom, L., Kaplan, J., &amp; </w:t>
      </w:r>
      <w:proofErr w:type="spellStart"/>
      <w:r w:rsidRPr="00FA6C4F">
        <w:rPr>
          <w:rFonts w:ascii="Times New Roman" w:eastAsia="Times New Roman" w:hAnsi="Times New Roman" w:cs="Times New Roman"/>
          <w:color w:val="000000"/>
          <w:sz w:val="27"/>
          <w:szCs w:val="27"/>
          <w:lang w:val="en-US" w:eastAsia="fr-FR"/>
        </w:rPr>
        <w:t>Omata</w:t>
      </w:r>
      <w:proofErr w:type="spellEnd"/>
      <w:r w:rsidRPr="00FA6C4F">
        <w:rPr>
          <w:rFonts w:ascii="Times New Roman" w:eastAsia="Times New Roman" w:hAnsi="Times New Roman" w:cs="Times New Roman"/>
          <w:color w:val="000000"/>
          <w:sz w:val="27"/>
          <w:szCs w:val="27"/>
          <w:lang w:val="en-US" w:eastAsia="fr-FR"/>
        </w:rPr>
        <w:t xml:space="preserve">, N. (2017). Refugee economies: Forced displacement and development. </w:t>
      </w:r>
      <w:r w:rsidRPr="00FA6C4F">
        <w:rPr>
          <w:rFonts w:ascii="Times New Roman" w:eastAsia="Times New Roman" w:hAnsi="Times New Roman" w:cs="Times New Roman"/>
          <w:color w:val="000000"/>
          <w:sz w:val="27"/>
          <w:szCs w:val="27"/>
          <w:lang w:eastAsia="fr-FR"/>
        </w:rPr>
        <w:t xml:space="preserve">Oxford </w:t>
      </w:r>
      <w:proofErr w:type="spellStart"/>
      <w:r w:rsidRPr="00FA6C4F">
        <w:rPr>
          <w:rFonts w:ascii="Times New Roman" w:eastAsia="Times New Roman" w:hAnsi="Times New Roman" w:cs="Times New Roman"/>
          <w:color w:val="000000"/>
          <w:sz w:val="27"/>
          <w:szCs w:val="27"/>
          <w:lang w:eastAsia="fr-FR"/>
        </w:rPr>
        <w:t>University</w:t>
      </w:r>
      <w:proofErr w:type="spellEnd"/>
      <w:r w:rsidRPr="00FA6C4F">
        <w:rPr>
          <w:rFonts w:ascii="Times New Roman" w:eastAsia="Times New Roman" w:hAnsi="Times New Roman" w:cs="Times New Roman"/>
          <w:color w:val="000000"/>
          <w:sz w:val="27"/>
          <w:szCs w:val="27"/>
          <w:lang w:eastAsia="fr-FR"/>
        </w:rPr>
        <w:t xml:space="preserve"> </w:t>
      </w:r>
      <w:proofErr w:type="spellStart"/>
      <w:r w:rsidRPr="00FA6C4F">
        <w:rPr>
          <w:rFonts w:ascii="Times New Roman" w:eastAsia="Times New Roman" w:hAnsi="Times New Roman" w:cs="Times New Roman"/>
          <w:color w:val="000000"/>
          <w:sz w:val="27"/>
          <w:szCs w:val="27"/>
          <w:lang w:eastAsia="fr-FR"/>
        </w:rPr>
        <w:t>Press</w:t>
      </w:r>
      <w:proofErr w:type="spellEnd"/>
      <w:r w:rsidRPr="00FA6C4F">
        <w:rPr>
          <w:rFonts w:ascii="Times New Roman" w:eastAsia="Times New Roman" w:hAnsi="Times New Roman" w:cs="Times New Roman"/>
          <w:color w:val="000000"/>
          <w:sz w:val="27"/>
          <w:szCs w:val="27"/>
          <w:lang w:eastAsia="fr-FR"/>
        </w:rPr>
        <w:t>.</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Bonanno</w:t>
      </w:r>
      <w:proofErr w:type="spellEnd"/>
      <w:r w:rsidRPr="00FA6C4F">
        <w:rPr>
          <w:rFonts w:ascii="Times New Roman" w:eastAsia="Times New Roman" w:hAnsi="Times New Roman" w:cs="Times New Roman"/>
          <w:color w:val="000000"/>
          <w:sz w:val="27"/>
          <w:szCs w:val="27"/>
          <w:lang w:val="en-US" w:eastAsia="fr-FR"/>
        </w:rPr>
        <w:t xml:space="preserve">, G. A., </w:t>
      </w:r>
      <w:proofErr w:type="spellStart"/>
      <w:r w:rsidRPr="00FA6C4F">
        <w:rPr>
          <w:rFonts w:ascii="Times New Roman" w:eastAsia="Times New Roman" w:hAnsi="Times New Roman" w:cs="Times New Roman"/>
          <w:color w:val="000000"/>
          <w:sz w:val="27"/>
          <w:szCs w:val="27"/>
          <w:lang w:val="en-US" w:eastAsia="fr-FR"/>
        </w:rPr>
        <w:t>Westphal</w:t>
      </w:r>
      <w:proofErr w:type="spellEnd"/>
      <w:r w:rsidRPr="00FA6C4F">
        <w:rPr>
          <w:rFonts w:ascii="Times New Roman" w:eastAsia="Times New Roman" w:hAnsi="Times New Roman" w:cs="Times New Roman"/>
          <w:color w:val="000000"/>
          <w:sz w:val="27"/>
          <w:szCs w:val="27"/>
          <w:lang w:val="en-US" w:eastAsia="fr-FR"/>
        </w:rPr>
        <w:t xml:space="preserve">, M., &amp; Mancini, A. D. (2010). Resilience to loss and potential trauma. </w:t>
      </w:r>
      <w:proofErr w:type="spellStart"/>
      <w:r w:rsidRPr="00FA6C4F">
        <w:rPr>
          <w:rFonts w:ascii="Times New Roman" w:eastAsia="Times New Roman" w:hAnsi="Times New Roman" w:cs="Times New Roman"/>
          <w:color w:val="000000"/>
          <w:sz w:val="27"/>
          <w:szCs w:val="27"/>
          <w:lang w:eastAsia="fr-FR"/>
        </w:rPr>
        <w:t>Annual</w:t>
      </w:r>
      <w:proofErr w:type="spellEnd"/>
      <w:r w:rsidRPr="00FA6C4F">
        <w:rPr>
          <w:rFonts w:ascii="Times New Roman" w:eastAsia="Times New Roman" w:hAnsi="Times New Roman" w:cs="Times New Roman"/>
          <w:color w:val="000000"/>
          <w:sz w:val="27"/>
          <w:szCs w:val="27"/>
          <w:lang w:eastAsia="fr-FR"/>
        </w:rPr>
        <w:t xml:space="preserve"> </w:t>
      </w:r>
      <w:proofErr w:type="spellStart"/>
      <w:r w:rsidRPr="00FA6C4F">
        <w:rPr>
          <w:rFonts w:ascii="Times New Roman" w:eastAsia="Times New Roman" w:hAnsi="Times New Roman" w:cs="Times New Roman"/>
          <w:color w:val="000000"/>
          <w:sz w:val="27"/>
          <w:szCs w:val="27"/>
          <w:lang w:eastAsia="fr-FR"/>
        </w:rPr>
        <w:t>Review</w:t>
      </w:r>
      <w:proofErr w:type="spellEnd"/>
      <w:r w:rsidRPr="00FA6C4F">
        <w:rPr>
          <w:rFonts w:ascii="Times New Roman" w:eastAsia="Times New Roman" w:hAnsi="Times New Roman" w:cs="Times New Roman"/>
          <w:color w:val="000000"/>
          <w:sz w:val="27"/>
          <w:szCs w:val="27"/>
          <w:lang w:eastAsia="fr-FR"/>
        </w:rPr>
        <w:t xml:space="preserve"> of </w:t>
      </w:r>
      <w:proofErr w:type="spellStart"/>
      <w:r w:rsidRPr="00FA6C4F">
        <w:rPr>
          <w:rFonts w:ascii="Times New Roman" w:eastAsia="Times New Roman" w:hAnsi="Times New Roman" w:cs="Times New Roman"/>
          <w:color w:val="000000"/>
          <w:sz w:val="27"/>
          <w:szCs w:val="27"/>
          <w:lang w:eastAsia="fr-FR"/>
        </w:rPr>
        <w:t>Clinical</w:t>
      </w:r>
      <w:proofErr w:type="spellEnd"/>
      <w:r w:rsidRPr="00FA6C4F">
        <w:rPr>
          <w:rFonts w:ascii="Times New Roman" w:eastAsia="Times New Roman" w:hAnsi="Times New Roman" w:cs="Times New Roman"/>
          <w:color w:val="000000"/>
          <w:sz w:val="27"/>
          <w:szCs w:val="27"/>
          <w:lang w:eastAsia="fr-FR"/>
        </w:rPr>
        <w:t xml:space="preserve"> </w:t>
      </w:r>
      <w:proofErr w:type="spellStart"/>
      <w:r w:rsidRPr="00FA6C4F">
        <w:rPr>
          <w:rFonts w:ascii="Times New Roman" w:eastAsia="Times New Roman" w:hAnsi="Times New Roman" w:cs="Times New Roman"/>
          <w:color w:val="000000"/>
          <w:sz w:val="27"/>
          <w:szCs w:val="27"/>
          <w:lang w:eastAsia="fr-FR"/>
        </w:rPr>
        <w:t>Psychology</w:t>
      </w:r>
      <w:proofErr w:type="spellEnd"/>
      <w:r w:rsidRPr="00FA6C4F">
        <w:rPr>
          <w:rFonts w:ascii="Times New Roman" w:eastAsia="Times New Roman" w:hAnsi="Times New Roman" w:cs="Times New Roman"/>
          <w:color w:val="000000"/>
          <w:sz w:val="27"/>
          <w:szCs w:val="27"/>
          <w:lang w:eastAsia="fr-FR"/>
        </w:rPr>
        <w:t>, 6, 511-535.</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A6C4F">
        <w:rPr>
          <w:rFonts w:ascii="Times New Roman" w:eastAsia="Times New Roman" w:hAnsi="Times New Roman" w:cs="Times New Roman"/>
          <w:color w:val="000000"/>
          <w:sz w:val="27"/>
          <w:szCs w:val="27"/>
          <w:lang w:val="en-US" w:eastAsia="fr-FR"/>
        </w:rPr>
        <w:t xml:space="preserve">Chambers, R. (2006). Vulnerability, coping and policy. </w:t>
      </w:r>
      <w:r w:rsidRPr="00FA6C4F">
        <w:rPr>
          <w:rFonts w:ascii="Times New Roman" w:eastAsia="Times New Roman" w:hAnsi="Times New Roman" w:cs="Times New Roman"/>
          <w:color w:val="000000"/>
          <w:sz w:val="27"/>
          <w:szCs w:val="27"/>
          <w:lang w:eastAsia="fr-FR"/>
        </w:rPr>
        <w:t>IDS Bulletin, 37(4), 33-40.</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A6C4F">
        <w:rPr>
          <w:rFonts w:ascii="Times New Roman" w:eastAsia="Times New Roman" w:hAnsi="Times New Roman" w:cs="Times New Roman"/>
          <w:color w:val="000000"/>
          <w:sz w:val="27"/>
          <w:szCs w:val="27"/>
          <w:lang w:val="en-US" w:eastAsia="fr-FR"/>
        </w:rPr>
        <w:lastRenderedPageBreak/>
        <w:t xml:space="preserve">Connor, K. M., &amp; Davidson, J. R. T. (2003). Development of a new resilience scale: The Connor-Davidson Resilience Scale (CD-RISC). </w:t>
      </w:r>
      <w:proofErr w:type="spellStart"/>
      <w:r w:rsidRPr="00FA6C4F">
        <w:rPr>
          <w:rFonts w:ascii="Times New Roman" w:eastAsia="Times New Roman" w:hAnsi="Times New Roman" w:cs="Times New Roman"/>
          <w:color w:val="000000"/>
          <w:sz w:val="27"/>
          <w:szCs w:val="27"/>
          <w:lang w:eastAsia="fr-FR"/>
        </w:rPr>
        <w:t>Depression</w:t>
      </w:r>
      <w:proofErr w:type="spellEnd"/>
      <w:r w:rsidRPr="00FA6C4F">
        <w:rPr>
          <w:rFonts w:ascii="Times New Roman" w:eastAsia="Times New Roman" w:hAnsi="Times New Roman" w:cs="Times New Roman"/>
          <w:color w:val="000000"/>
          <w:sz w:val="27"/>
          <w:szCs w:val="27"/>
          <w:lang w:eastAsia="fr-FR"/>
        </w:rPr>
        <w:t xml:space="preserve"> and </w:t>
      </w:r>
      <w:proofErr w:type="spellStart"/>
      <w:r w:rsidRPr="00FA6C4F">
        <w:rPr>
          <w:rFonts w:ascii="Times New Roman" w:eastAsia="Times New Roman" w:hAnsi="Times New Roman" w:cs="Times New Roman"/>
          <w:color w:val="000000"/>
          <w:sz w:val="27"/>
          <w:szCs w:val="27"/>
          <w:lang w:eastAsia="fr-FR"/>
        </w:rPr>
        <w:t>Anxiety</w:t>
      </w:r>
      <w:proofErr w:type="spellEnd"/>
      <w:r w:rsidRPr="00FA6C4F">
        <w:rPr>
          <w:rFonts w:ascii="Times New Roman" w:eastAsia="Times New Roman" w:hAnsi="Times New Roman" w:cs="Times New Roman"/>
          <w:color w:val="000000"/>
          <w:sz w:val="27"/>
          <w:szCs w:val="27"/>
          <w:lang w:eastAsia="fr-FR"/>
        </w:rPr>
        <w:t>, 18(2), 76-82.</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Kibreab</w:t>
      </w:r>
      <w:proofErr w:type="spellEnd"/>
      <w:r w:rsidRPr="00FA6C4F">
        <w:rPr>
          <w:rFonts w:ascii="Times New Roman" w:eastAsia="Times New Roman" w:hAnsi="Times New Roman" w:cs="Times New Roman"/>
          <w:color w:val="000000"/>
          <w:sz w:val="27"/>
          <w:szCs w:val="27"/>
          <w:lang w:val="en-US" w:eastAsia="fr-FR"/>
        </w:rPr>
        <w:t xml:space="preserve">, G. (2004). Pulling the wool over the eyes of the strangers: Refugee manipulation of the aid environment. </w:t>
      </w:r>
      <w:r w:rsidRPr="00FA6C4F">
        <w:rPr>
          <w:rFonts w:ascii="Times New Roman" w:eastAsia="Times New Roman" w:hAnsi="Times New Roman" w:cs="Times New Roman"/>
          <w:color w:val="000000"/>
          <w:sz w:val="27"/>
          <w:szCs w:val="27"/>
          <w:lang w:eastAsia="fr-FR"/>
        </w:rPr>
        <w:t xml:space="preserve">Journal of </w:t>
      </w:r>
      <w:proofErr w:type="spellStart"/>
      <w:r w:rsidRPr="00FA6C4F">
        <w:rPr>
          <w:rFonts w:ascii="Times New Roman" w:eastAsia="Times New Roman" w:hAnsi="Times New Roman" w:cs="Times New Roman"/>
          <w:color w:val="000000"/>
          <w:sz w:val="27"/>
          <w:szCs w:val="27"/>
          <w:lang w:eastAsia="fr-FR"/>
        </w:rPr>
        <w:t>Refugee</w:t>
      </w:r>
      <w:proofErr w:type="spellEnd"/>
      <w:r w:rsidRPr="00FA6C4F">
        <w:rPr>
          <w:rFonts w:ascii="Times New Roman" w:eastAsia="Times New Roman" w:hAnsi="Times New Roman" w:cs="Times New Roman"/>
          <w:color w:val="000000"/>
          <w:sz w:val="27"/>
          <w:szCs w:val="27"/>
          <w:lang w:eastAsia="fr-FR"/>
        </w:rPr>
        <w:t xml:space="preserve"> </w:t>
      </w:r>
      <w:proofErr w:type="spellStart"/>
      <w:r w:rsidRPr="00FA6C4F">
        <w:rPr>
          <w:rFonts w:ascii="Times New Roman" w:eastAsia="Times New Roman" w:hAnsi="Times New Roman" w:cs="Times New Roman"/>
          <w:color w:val="000000"/>
          <w:sz w:val="27"/>
          <w:szCs w:val="27"/>
          <w:lang w:eastAsia="fr-FR"/>
        </w:rPr>
        <w:t>Studies</w:t>
      </w:r>
      <w:proofErr w:type="spellEnd"/>
      <w:r w:rsidRPr="00FA6C4F">
        <w:rPr>
          <w:rFonts w:ascii="Times New Roman" w:eastAsia="Times New Roman" w:hAnsi="Times New Roman" w:cs="Times New Roman"/>
          <w:color w:val="000000"/>
          <w:sz w:val="27"/>
          <w:szCs w:val="27"/>
          <w:lang w:eastAsia="fr-FR"/>
        </w:rPr>
        <w:t>, 17(2), 126-146.</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eastAsia="fr-FR"/>
        </w:rPr>
        <w:t>Luthar</w:t>
      </w:r>
      <w:proofErr w:type="spellEnd"/>
      <w:r w:rsidRPr="00FA6C4F">
        <w:rPr>
          <w:rFonts w:ascii="Times New Roman" w:eastAsia="Times New Roman" w:hAnsi="Times New Roman" w:cs="Times New Roman"/>
          <w:color w:val="000000"/>
          <w:sz w:val="27"/>
          <w:szCs w:val="27"/>
          <w:lang w:eastAsia="fr-FR"/>
        </w:rPr>
        <w:t xml:space="preserve">, S. S., &amp; </w:t>
      </w:r>
      <w:proofErr w:type="spellStart"/>
      <w:r w:rsidRPr="00FA6C4F">
        <w:rPr>
          <w:rFonts w:ascii="Times New Roman" w:eastAsia="Times New Roman" w:hAnsi="Times New Roman" w:cs="Times New Roman"/>
          <w:color w:val="000000"/>
          <w:sz w:val="27"/>
          <w:szCs w:val="27"/>
          <w:lang w:eastAsia="fr-FR"/>
        </w:rPr>
        <w:t>Cicchetti</w:t>
      </w:r>
      <w:proofErr w:type="spellEnd"/>
      <w:r w:rsidRPr="00FA6C4F">
        <w:rPr>
          <w:rFonts w:ascii="Times New Roman" w:eastAsia="Times New Roman" w:hAnsi="Times New Roman" w:cs="Times New Roman"/>
          <w:color w:val="000000"/>
          <w:sz w:val="27"/>
          <w:szCs w:val="27"/>
          <w:lang w:eastAsia="fr-FR"/>
        </w:rPr>
        <w:t xml:space="preserve">, D. (2000). </w:t>
      </w:r>
      <w:r w:rsidRPr="00FA6C4F">
        <w:rPr>
          <w:rFonts w:ascii="Times New Roman" w:eastAsia="Times New Roman" w:hAnsi="Times New Roman" w:cs="Times New Roman"/>
          <w:color w:val="000000"/>
          <w:sz w:val="27"/>
          <w:szCs w:val="27"/>
          <w:lang w:val="en-US" w:eastAsia="fr-FR"/>
        </w:rPr>
        <w:t xml:space="preserve">The construct of resilience: Implications for interventions and social policies. </w:t>
      </w:r>
      <w:proofErr w:type="spellStart"/>
      <w:r w:rsidRPr="00FA6C4F">
        <w:rPr>
          <w:rFonts w:ascii="Times New Roman" w:eastAsia="Times New Roman" w:hAnsi="Times New Roman" w:cs="Times New Roman"/>
          <w:color w:val="000000"/>
          <w:sz w:val="27"/>
          <w:szCs w:val="27"/>
          <w:lang w:eastAsia="fr-FR"/>
        </w:rPr>
        <w:t>Development</w:t>
      </w:r>
      <w:proofErr w:type="spellEnd"/>
      <w:r w:rsidRPr="00FA6C4F">
        <w:rPr>
          <w:rFonts w:ascii="Times New Roman" w:eastAsia="Times New Roman" w:hAnsi="Times New Roman" w:cs="Times New Roman"/>
          <w:color w:val="000000"/>
          <w:sz w:val="27"/>
          <w:szCs w:val="27"/>
          <w:lang w:eastAsia="fr-FR"/>
        </w:rPr>
        <w:t xml:space="preserve"> and </w:t>
      </w:r>
      <w:proofErr w:type="spellStart"/>
      <w:r w:rsidRPr="00FA6C4F">
        <w:rPr>
          <w:rFonts w:ascii="Times New Roman" w:eastAsia="Times New Roman" w:hAnsi="Times New Roman" w:cs="Times New Roman"/>
          <w:color w:val="000000"/>
          <w:sz w:val="27"/>
          <w:szCs w:val="27"/>
          <w:lang w:eastAsia="fr-FR"/>
        </w:rPr>
        <w:t>Psychopathology</w:t>
      </w:r>
      <w:proofErr w:type="spellEnd"/>
      <w:r w:rsidRPr="00FA6C4F">
        <w:rPr>
          <w:rFonts w:ascii="Times New Roman" w:eastAsia="Times New Roman" w:hAnsi="Times New Roman" w:cs="Times New Roman"/>
          <w:color w:val="000000"/>
          <w:sz w:val="27"/>
          <w:szCs w:val="27"/>
          <w:lang w:eastAsia="fr-FR"/>
        </w:rPr>
        <w:t>, 12(4), 857-885.</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Luthar</w:t>
      </w:r>
      <w:proofErr w:type="spellEnd"/>
      <w:r w:rsidRPr="00FA6C4F">
        <w:rPr>
          <w:rFonts w:ascii="Times New Roman" w:eastAsia="Times New Roman" w:hAnsi="Times New Roman" w:cs="Times New Roman"/>
          <w:color w:val="000000"/>
          <w:sz w:val="27"/>
          <w:szCs w:val="27"/>
          <w:lang w:val="en-US" w:eastAsia="fr-FR"/>
        </w:rPr>
        <w:t xml:space="preserve">, S. S., </w:t>
      </w:r>
      <w:proofErr w:type="spellStart"/>
      <w:r w:rsidRPr="00FA6C4F">
        <w:rPr>
          <w:rFonts w:ascii="Times New Roman" w:eastAsia="Times New Roman" w:hAnsi="Times New Roman" w:cs="Times New Roman"/>
          <w:color w:val="000000"/>
          <w:sz w:val="27"/>
          <w:szCs w:val="27"/>
          <w:lang w:val="en-US" w:eastAsia="fr-FR"/>
        </w:rPr>
        <w:t>Cicchetti</w:t>
      </w:r>
      <w:proofErr w:type="spellEnd"/>
      <w:r w:rsidRPr="00FA6C4F">
        <w:rPr>
          <w:rFonts w:ascii="Times New Roman" w:eastAsia="Times New Roman" w:hAnsi="Times New Roman" w:cs="Times New Roman"/>
          <w:color w:val="000000"/>
          <w:sz w:val="27"/>
          <w:szCs w:val="27"/>
          <w:lang w:val="en-US" w:eastAsia="fr-FR"/>
        </w:rPr>
        <w:t xml:space="preserve">, D., &amp; Becker, B. (2000). The construct of resilience: A critical evaluation and guidelines for future work. </w:t>
      </w:r>
      <w:r w:rsidRPr="00FA6C4F">
        <w:rPr>
          <w:rFonts w:ascii="Times New Roman" w:eastAsia="Times New Roman" w:hAnsi="Times New Roman" w:cs="Times New Roman"/>
          <w:color w:val="000000"/>
          <w:sz w:val="27"/>
          <w:szCs w:val="27"/>
          <w:lang w:eastAsia="fr-FR"/>
        </w:rPr>
        <w:t xml:space="preserve">Child </w:t>
      </w:r>
      <w:proofErr w:type="spellStart"/>
      <w:r w:rsidRPr="00FA6C4F">
        <w:rPr>
          <w:rFonts w:ascii="Times New Roman" w:eastAsia="Times New Roman" w:hAnsi="Times New Roman" w:cs="Times New Roman"/>
          <w:color w:val="000000"/>
          <w:sz w:val="27"/>
          <w:szCs w:val="27"/>
          <w:lang w:eastAsia="fr-FR"/>
        </w:rPr>
        <w:t>Development</w:t>
      </w:r>
      <w:proofErr w:type="spellEnd"/>
      <w:r w:rsidRPr="00FA6C4F">
        <w:rPr>
          <w:rFonts w:ascii="Times New Roman" w:eastAsia="Times New Roman" w:hAnsi="Times New Roman" w:cs="Times New Roman"/>
          <w:color w:val="000000"/>
          <w:sz w:val="27"/>
          <w:szCs w:val="27"/>
          <w:lang w:eastAsia="fr-FR"/>
        </w:rPr>
        <w:t>, 71(3), 543-562.</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Masten</w:t>
      </w:r>
      <w:proofErr w:type="spellEnd"/>
      <w:r w:rsidRPr="00FA6C4F">
        <w:rPr>
          <w:rFonts w:ascii="Times New Roman" w:eastAsia="Times New Roman" w:hAnsi="Times New Roman" w:cs="Times New Roman"/>
          <w:color w:val="000000"/>
          <w:sz w:val="27"/>
          <w:szCs w:val="27"/>
          <w:lang w:val="en-US" w:eastAsia="fr-FR"/>
        </w:rPr>
        <w:t xml:space="preserve">, A. S. (2001). Ordinary magic: Resilience processes in development. </w:t>
      </w:r>
      <w:r w:rsidRPr="00FA6C4F">
        <w:rPr>
          <w:rFonts w:ascii="Times New Roman" w:eastAsia="Times New Roman" w:hAnsi="Times New Roman" w:cs="Times New Roman"/>
          <w:color w:val="000000"/>
          <w:sz w:val="27"/>
          <w:szCs w:val="27"/>
          <w:lang w:eastAsia="fr-FR"/>
        </w:rPr>
        <w:t xml:space="preserve">American </w:t>
      </w:r>
      <w:proofErr w:type="spellStart"/>
      <w:r w:rsidRPr="00FA6C4F">
        <w:rPr>
          <w:rFonts w:ascii="Times New Roman" w:eastAsia="Times New Roman" w:hAnsi="Times New Roman" w:cs="Times New Roman"/>
          <w:color w:val="000000"/>
          <w:sz w:val="27"/>
          <w:szCs w:val="27"/>
          <w:lang w:eastAsia="fr-FR"/>
        </w:rPr>
        <w:t>Psychologist</w:t>
      </w:r>
      <w:proofErr w:type="spellEnd"/>
      <w:r w:rsidRPr="00FA6C4F">
        <w:rPr>
          <w:rFonts w:ascii="Times New Roman" w:eastAsia="Times New Roman" w:hAnsi="Times New Roman" w:cs="Times New Roman"/>
          <w:color w:val="000000"/>
          <w:sz w:val="27"/>
          <w:szCs w:val="27"/>
          <w:lang w:eastAsia="fr-FR"/>
        </w:rPr>
        <w:t>, 56(3), 227-238.</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Masten</w:t>
      </w:r>
      <w:proofErr w:type="spellEnd"/>
      <w:r w:rsidRPr="00FA6C4F">
        <w:rPr>
          <w:rFonts w:ascii="Times New Roman" w:eastAsia="Times New Roman" w:hAnsi="Times New Roman" w:cs="Times New Roman"/>
          <w:color w:val="000000"/>
          <w:sz w:val="27"/>
          <w:szCs w:val="27"/>
          <w:lang w:val="en-US" w:eastAsia="fr-FR"/>
        </w:rPr>
        <w:t xml:space="preserve">, A. S., Best, K. M., &amp; </w:t>
      </w:r>
      <w:proofErr w:type="spellStart"/>
      <w:r w:rsidRPr="00FA6C4F">
        <w:rPr>
          <w:rFonts w:ascii="Times New Roman" w:eastAsia="Times New Roman" w:hAnsi="Times New Roman" w:cs="Times New Roman"/>
          <w:color w:val="000000"/>
          <w:sz w:val="27"/>
          <w:szCs w:val="27"/>
          <w:lang w:val="en-US" w:eastAsia="fr-FR"/>
        </w:rPr>
        <w:t>Garmezy</w:t>
      </w:r>
      <w:proofErr w:type="spellEnd"/>
      <w:r w:rsidRPr="00FA6C4F">
        <w:rPr>
          <w:rFonts w:ascii="Times New Roman" w:eastAsia="Times New Roman" w:hAnsi="Times New Roman" w:cs="Times New Roman"/>
          <w:color w:val="000000"/>
          <w:sz w:val="27"/>
          <w:szCs w:val="27"/>
          <w:lang w:val="en-US" w:eastAsia="fr-FR"/>
        </w:rPr>
        <w:t xml:space="preserve">, N. (1990). Resilience and development: Contributions from the study of children who overcome adversity. </w:t>
      </w:r>
      <w:proofErr w:type="spellStart"/>
      <w:r w:rsidRPr="00FA6C4F">
        <w:rPr>
          <w:rFonts w:ascii="Times New Roman" w:eastAsia="Times New Roman" w:hAnsi="Times New Roman" w:cs="Times New Roman"/>
          <w:color w:val="000000"/>
          <w:sz w:val="27"/>
          <w:szCs w:val="27"/>
          <w:lang w:eastAsia="fr-FR"/>
        </w:rPr>
        <w:t>Development</w:t>
      </w:r>
      <w:proofErr w:type="spellEnd"/>
      <w:r w:rsidRPr="00FA6C4F">
        <w:rPr>
          <w:rFonts w:ascii="Times New Roman" w:eastAsia="Times New Roman" w:hAnsi="Times New Roman" w:cs="Times New Roman"/>
          <w:color w:val="000000"/>
          <w:sz w:val="27"/>
          <w:szCs w:val="27"/>
          <w:lang w:eastAsia="fr-FR"/>
        </w:rPr>
        <w:t xml:space="preserve"> and </w:t>
      </w:r>
      <w:proofErr w:type="spellStart"/>
      <w:r w:rsidRPr="00FA6C4F">
        <w:rPr>
          <w:rFonts w:ascii="Times New Roman" w:eastAsia="Times New Roman" w:hAnsi="Times New Roman" w:cs="Times New Roman"/>
          <w:color w:val="000000"/>
          <w:sz w:val="27"/>
          <w:szCs w:val="27"/>
          <w:lang w:eastAsia="fr-FR"/>
        </w:rPr>
        <w:t>Psychopathology</w:t>
      </w:r>
      <w:proofErr w:type="spellEnd"/>
      <w:r w:rsidRPr="00FA6C4F">
        <w:rPr>
          <w:rFonts w:ascii="Times New Roman" w:eastAsia="Times New Roman" w:hAnsi="Times New Roman" w:cs="Times New Roman"/>
          <w:color w:val="000000"/>
          <w:sz w:val="27"/>
          <w:szCs w:val="27"/>
          <w:lang w:eastAsia="fr-FR"/>
        </w:rPr>
        <w:t>, 2(4), 425-444.</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A6C4F">
        <w:rPr>
          <w:rFonts w:ascii="Times New Roman" w:eastAsia="Times New Roman" w:hAnsi="Times New Roman" w:cs="Times New Roman"/>
          <w:color w:val="000000"/>
          <w:sz w:val="27"/>
          <w:szCs w:val="27"/>
          <w:lang w:val="en-US" w:eastAsia="fr-FR"/>
        </w:rPr>
        <w:t xml:space="preserve">Ong, A. D., </w:t>
      </w:r>
      <w:proofErr w:type="spellStart"/>
      <w:r w:rsidRPr="00FA6C4F">
        <w:rPr>
          <w:rFonts w:ascii="Times New Roman" w:eastAsia="Times New Roman" w:hAnsi="Times New Roman" w:cs="Times New Roman"/>
          <w:color w:val="000000"/>
          <w:sz w:val="27"/>
          <w:szCs w:val="27"/>
          <w:lang w:val="en-US" w:eastAsia="fr-FR"/>
        </w:rPr>
        <w:t>Bergeman</w:t>
      </w:r>
      <w:proofErr w:type="spellEnd"/>
      <w:r w:rsidRPr="00FA6C4F">
        <w:rPr>
          <w:rFonts w:ascii="Times New Roman" w:eastAsia="Times New Roman" w:hAnsi="Times New Roman" w:cs="Times New Roman"/>
          <w:color w:val="000000"/>
          <w:sz w:val="27"/>
          <w:szCs w:val="27"/>
          <w:lang w:val="en-US" w:eastAsia="fr-FR"/>
        </w:rPr>
        <w:t xml:space="preserve">, C. S., </w:t>
      </w:r>
      <w:proofErr w:type="spellStart"/>
      <w:r w:rsidRPr="00FA6C4F">
        <w:rPr>
          <w:rFonts w:ascii="Times New Roman" w:eastAsia="Times New Roman" w:hAnsi="Times New Roman" w:cs="Times New Roman"/>
          <w:color w:val="000000"/>
          <w:sz w:val="27"/>
          <w:szCs w:val="27"/>
          <w:lang w:val="en-US" w:eastAsia="fr-FR"/>
        </w:rPr>
        <w:t>Bisconti</w:t>
      </w:r>
      <w:proofErr w:type="spellEnd"/>
      <w:r w:rsidRPr="00FA6C4F">
        <w:rPr>
          <w:rFonts w:ascii="Times New Roman" w:eastAsia="Times New Roman" w:hAnsi="Times New Roman" w:cs="Times New Roman"/>
          <w:color w:val="000000"/>
          <w:sz w:val="27"/>
          <w:szCs w:val="27"/>
          <w:lang w:val="en-US" w:eastAsia="fr-FR"/>
        </w:rPr>
        <w:t xml:space="preserve">, T. L., &amp; Wallace, K. A. (2006). Psychological resilience, positive emotions, and successful adaptation to stress in later life. </w:t>
      </w:r>
      <w:r w:rsidRPr="00FA6C4F">
        <w:rPr>
          <w:rFonts w:ascii="Times New Roman" w:eastAsia="Times New Roman" w:hAnsi="Times New Roman" w:cs="Times New Roman"/>
          <w:color w:val="000000"/>
          <w:sz w:val="27"/>
          <w:szCs w:val="27"/>
          <w:lang w:eastAsia="fr-FR"/>
        </w:rPr>
        <w:t xml:space="preserve">Journal of </w:t>
      </w:r>
      <w:proofErr w:type="spellStart"/>
      <w:r w:rsidRPr="00FA6C4F">
        <w:rPr>
          <w:rFonts w:ascii="Times New Roman" w:eastAsia="Times New Roman" w:hAnsi="Times New Roman" w:cs="Times New Roman"/>
          <w:color w:val="000000"/>
          <w:sz w:val="27"/>
          <w:szCs w:val="27"/>
          <w:lang w:eastAsia="fr-FR"/>
        </w:rPr>
        <w:t>Personality</w:t>
      </w:r>
      <w:proofErr w:type="spellEnd"/>
      <w:r w:rsidRPr="00FA6C4F">
        <w:rPr>
          <w:rFonts w:ascii="Times New Roman" w:eastAsia="Times New Roman" w:hAnsi="Times New Roman" w:cs="Times New Roman"/>
          <w:color w:val="000000"/>
          <w:sz w:val="27"/>
          <w:szCs w:val="27"/>
          <w:lang w:eastAsia="fr-FR"/>
        </w:rPr>
        <w:t xml:space="preserve"> and Social </w:t>
      </w:r>
      <w:proofErr w:type="spellStart"/>
      <w:r w:rsidRPr="00FA6C4F">
        <w:rPr>
          <w:rFonts w:ascii="Times New Roman" w:eastAsia="Times New Roman" w:hAnsi="Times New Roman" w:cs="Times New Roman"/>
          <w:color w:val="000000"/>
          <w:sz w:val="27"/>
          <w:szCs w:val="27"/>
          <w:lang w:eastAsia="fr-FR"/>
        </w:rPr>
        <w:t>Psychology</w:t>
      </w:r>
      <w:proofErr w:type="spellEnd"/>
      <w:r w:rsidRPr="00FA6C4F">
        <w:rPr>
          <w:rFonts w:ascii="Times New Roman" w:eastAsia="Times New Roman" w:hAnsi="Times New Roman" w:cs="Times New Roman"/>
          <w:color w:val="000000"/>
          <w:sz w:val="27"/>
          <w:szCs w:val="27"/>
          <w:lang w:eastAsia="fr-FR"/>
        </w:rPr>
        <w:t>, 91(4), 730-749.</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FA6C4F">
        <w:rPr>
          <w:rFonts w:ascii="Times New Roman" w:eastAsia="Times New Roman" w:hAnsi="Times New Roman" w:cs="Times New Roman"/>
          <w:color w:val="000000"/>
          <w:sz w:val="27"/>
          <w:szCs w:val="27"/>
          <w:lang w:val="en-US" w:eastAsia="fr-FR"/>
        </w:rPr>
        <w:t>Ungar</w:t>
      </w:r>
      <w:proofErr w:type="spellEnd"/>
      <w:r w:rsidRPr="00FA6C4F">
        <w:rPr>
          <w:rFonts w:ascii="Times New Roman" w:eastAsia="Times New Roman" w:hAnsi="Times New Roman" w:cs="Times New Roman"/>
          <w:color w:val="000000"/>
          <w:sz w:val="27"/>
          <w:szCs w:val="27"/>
          <w:lang w:val="en-US" w:eastAsia="fr-FR"/>
        </w:rPr>
        <w:t xml:space="preserve">, M. (2013). Resilience after maltreatment: The importance of social services as facilitators of positive adaptation. </w:t>
      </w:r>
      <w:r w:rsidRPr="00FA6C4F">
        <w:rPr>
          <w:rFonts w:ascii="Times New Roman" w:eastAsia="Times New Roman" w:hAnsi="Times New Roman" w:cs="Times New Roman"/>
          <w:color w:val="000000"/>
          <w:sz w:val="27"/>
          <w:szCs w:val="27"/>
          <w:lang w:eastAsia="fr-FR"/>
        </w:rPr>
        <w:t xml:space="preserve">Child Abuse &amp; </w:t>
      </w:r>
      <w:proofErr w:type="spellStart"/>
      <w:r w:rsidRPr="00FA6C4F">
        <w:rPr>
          <w:rFonts w:ascii="Times New Roman" w:eastAsia="Times New Roman" w:hAnsi="Times New Roman" w:cs="Times New Roman"/>
          <w:color w:val="000000"/>
          <w:sz w:val="27"/>
          <w:szCs w:val="27"/>
          <w:lang w:eastAsia="fr-FR"/>
        </w:rPr>
        <w:t>Neglect</w:t>
      </w:r>
      <w:proofErr w:type="spellEnd"/>
      <w:r w:rsidRPr="00FA6C4F">
        <w:rPr>
          <w:rFonts w:ascii="Times New Roman" w:eastAsia="Times New Roman" w:hAnsi="Times New Roman" w:cs="Times New Roman"/>
          <w:color w:val="000000"/>
          <w:sz w:val="27"/>
          <w:szCs w:val="27"/>
          <w:lang w:eastAsia="fr-FR"/>
        </w:rPr>
        <w:t>, 37(2–3), 110–115.</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proofErr w:type="spellStart"/>
      <w:r w:rsidRPr="00FA6C4F">
        <w:rPr>
          <w:rFonts w:ascii="Times New Roman" w:eastAsia="Times New Roman" w:hAnsi="Times New Roman" w:cs="Times New Roman"/>
          <w:color w:val="000000"/>
          <w:sz w:val="27"/>
          <w:szCs w:val="27"/>
          <w:lang w:val="en-US" w:eastAsia="fr-FR"/>
        </w:rPr>
        <w:t>Wagnild</w:t>
      </w:r>
      <w:proofErr w:type="spellEnd"/>
      <w:r w:rsidRPr="00FA6C4F">
        <w:rPr>
          <w:rFonts w:ascii="Times New Roman" w:eastAsia="Times New Roman" w:hAnsi="Times New Roman" w:cs="Times New Roman"/>
          <w:color w:val="000000"/>
          <w:sz w:val="27"/>
          <w:szCs w:val="27"/>
          <w:lang w:val="en-US" w:eastAsia="fr-FR"/>
        </w:rPr>
        <w:t>, G., &amp; Young, H.M</w:t>
      </w:r>
      <w:proofErr w:type="gramStart"/>
      <w:r w:rsidRPr="00FA6C4F">
        <w:rPr>
          <w:rFonts w:ascii="Times New Roman" w:eastAsia="Times New Roman" w:hAnsi="Times New Roman" w:cs="Times New Roman"/>
          <w:color w:val="000000"/>
          <w:sz w:val="27"/>
          <w:szCs w:val="27"/>
          <w:lang w:val="en-US" w:eastAsia="fr-FR"/>
        </w:rPr>
        <w:t>.(</w:t>
      </w:r>
      <w:proofErr w:type="gramEnd"/>
      <w:r w:rsidRPr="00FA6C4F">
        <w:rPr>
          <w:rFonts w:ascii="Times New Roman" w:eastAsia="Times New Roman" w:hAnsi="Times New Roman" w:cs="Times New Roman"/>
          <w:color w:val="000000"/>
          <w:sz w:val="27"/>
          <w:szCs w:val="27"/>
          <w:lang w:val="en-US" w:eastAsia="fr-FR"/>
        </w:rPr>
        <w:t xml:space="preserve">1993). Development and psychometric evaluation of the Resilience </w:t>
      </w:r>
      <w:proofErr w:type="spellStart"/>
      <w:r w:rsidRPr="00FA6C4F">
        <w:rPr>
          <w:rFonts w:ascii="Times New Roman" w:eastAsia="Times New Roman" w:hAnsi="Times New Roman" w:cs="Times New Roman"/>
          <w:color w:val="000000"/>
          <w:sz w:val="27"/>
          <w:szCs w:val="27"/>
          <w:lang w:val="en-US" w:eastAsia="fr-FR"/>
        </w:rPr>
        <w:t>Scale.Journal</w:t>
      </w:r>
      <w:proofErr w:type="spellEnd"/>
      <w:r w:rsidRPr="00FA6C4F">
        <w:rPr>
          <w:rFonts w:ascii="Times New Roman" w:eastAsia="Times New Roman" w:hAnsi="Times New Roman" w:cs="Times New Roman"/>
          <w:color w:val="000000"/>
          <w:sz w:val="27"/>
          <w:szCs w:val="27"/>
          <w:lang w:val="en-US" w:eastAsia="fr-FR"/>
        </w:rPr>
        <w:t xml:space="preserve"> of Nursing Measurement, 1(2)</w:t>
      </w:r>
      <w:proofErr w:type="gramStart"/>
      <w:r w:rsidRPr="00FA6C4F">
        <w:rPr>
          <w:rFonts w:ascii="Times New Roman" w:eastAsia="Times New Roman" w:hAnsi="Times New Roman" w:cs="Times New Roman"/>
          <w:color w:val="000000"/>
          <w:sz w:val="27"/>
          <w:szCs w:val="27"/>
          <w:lang w:val="en-US" w:eastAsia="fr-FR"/>
        </w:rPr>
        <w:t>,165</w:t>
      </w:r>
      <w:proofErr w:type="gramEnd"/>
      <w:r w:rsidRPr="00FA6C4F">
        <w:rPr>
          <w:rFonts w:ascii="Times New Roman" w:eastAsia="Times New Roman" w:hAnsi="Times New Roman" w:cs="Times New Roman"/>
          <w:color w:val="000000"/>
          <w:sz w:val="27"/>
          <w:szCs w:val="27"/>
          <w:lang w:val="en-US" w:eastAsia="fr-FR"/>
        </w:rPr>
        <w:t>–178.</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proofErr w:type="spellStart"/>
      <w:r w:rsidRPr="00FA6C4F">
        <w:rPr>
          <w:rFonts w:ascii="Times New Roman" w:eastAsia="Times New Roman" w:hAnsi="Times New Roman" w:cs="Times New Roman"/>
          <w:color w:val="000000"/>
          <w:sz w:val="27"/>
          <w:szCs w:val="27"/>
          <w:lang w:val="en-US" w:eastAsia="fr-FR"/>
        </w:rPr>
        <w:t>Windle,G</w:t>
      </w:r>
      <w:proofErr w:type="spellEnd"/>
      <w:r w:rsidRPr="00FA6C4F">
        <w:rPr>
          <w:rFonts w:ascii="Times New Roman" w:eastAsia="Times New Roman" w:hAnsi="Times New Roman" w:cs="Times New Roman"/>
          <w:color w:val="000000"/>
          <w:sz w:val="27"/>
          <w:szCs w:val="27"/>
          <w:lang w:val="en-US" w:eastAsia="fr-FR"/>
        </w:rPr>
        <w:t xml:space="preserve">., </w:t>
      </w:r>
      <w:proofErr w:type="spellStart"/>
      <w:r w:rsidRPr="00FA6C4F">
        <w:rPr>
          <w:rFonts w:ascii="Times New Roman" w:eastAsia="Times New Roman" w:hAnsi="Times New Roman" w:cs="Times New Roman"/>
          <w:color w:val="000000"/>
          <w:sz w:val="27"/>
          <w:szCs w:val="27"/>
          <w:lang w:val="en-US" w:eastAsia="fr-FR"/>
        </w:rPr>
        <w:t>Bennett,K.M</w:t>
      </w:r>
      <w:proofErr w:type="spellEnd"/>
      <w:r w:rsidRPr="00FA6C4F">
        <w:rPr>
          <w:rFonts w:ascii="Times New Roman" w:eastAsia="Times New Roman" w:hAnsi="Times New Roman" w:cs="Times New Roman"/>
          <w:color w:val="000000"/>
          <w:sz w:val="27"/>
          <w:szCs w:val="27"/>
          <w:lang w:val="en-US" w:eastAsia="fr-FR"/>
        </w:rPr>
        <w:t xml:space="preserve">.,&amp; </w:t>
      </w:r>
      <w:proofErr w:type="spellStart"/>
      <w:r w:rsidRPr="00FA6C4F">
        <w:rPr>
          <w:rFonts w:ascii="Times New Roman" w:eastAsia="Times New Roman" w:hAnsi="Times New Roman" w:cs="Times New Roman"/>
          <w:color w:val="000000"/>
          <w:sz w:val="27"/>
          <w:szCs w:val="27"/>
          <w:lang w:val="en-US" w:eastAsia="fr-FR"/>
        </w:rPr>
        <w:t>Noyes,J</w:t>
      </w:r>
      <w:proofErr w:type="spellEnd"/>
      <w:r w:rsidRPr="00FA6C4F">
        <w:rPr>
          <w:rFonts w:ascii="Times New Roman" w:eastAsia="Times New Roman" w:hAnsi="Times New Roman" w:cs="Times New Roman"/>
          <w:color w:val="000000"/>
          <w:sz w:val="27"/>
          <w:szCs w:val="27"/>
          <w:lang w:val="en-US" w:eastAsia="fr-FR"/>
        </w:rPr>
        <w:t xml:space="preserve">.(2011).A methodological review of resilience measurement </w:t>
      </w:r>
      <w:proofErr w:type="spellStart"/>
      <w:r w:rsidRPr="00FA6C4F">
        <w:rPr>
          <w:rFonts w:ascii="Times New Roman" w:eastAsia="Times New Roman" w:hAnsi="Times New Roman" w:cs="Times New Roman"/>
          <w:color w:val="000000"/>
          <w:sz w:val="27"/>
          <w:szCs w:val="27"/>
          <w:lang w:val="en-US" w:eastAsia="fr-FR"/>
        </w:rPr>
        <w:t>scales.Health</w:t>
      </w:r>
      <w:proofErr w:type="spellEnd"/>
      <w:r w:rsidRPr="00FA6C4F">
        <w:rPr>
          <w:rFonts w:ascii="Times New Roman" w:eastAsia="Times New Roman" w:hAnsi="Times New Roman" w:cs="Times New Roman"/>
          <w:color w:val="000000"/>
          <w:sz w:val="27"/>
          <w:szCs w:val="27"/>
          <w:lang w:val="en-US" w:eastAsia="fr-FR"/>
        </w:rPr>
        <w:t xml:space="preserve"> and Quality of Life Outcomes, 9(1),8.</w:t>
      </w:r>
    </w:p>
    <w:p w:rsidR="00FA6C4F" w:rsidRPr="00FA6C4F" w:rsidRDefault="00FA6C4F" w:rsidP="00FA6C4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proofErr w:type="spellStart"/>
      <w:r w:rsidRPr="00FA6C4F">
        <w:rPr>
          <w:rFonts w:ascii="Times New Roman" w:eastAsia="Times New Roman" w:hAnsi="Times New Roman" w:cs="Times New Roman"/>
          <w:color w:val="000000"/>
          <w:sz w:val="27"/>
          <w:szCs w:val="27"/>
          <w:lang w:val="en-US" w:eastAsia="fr-FR"/>
        </w:rPr>
        <w:t>Yin</w:t>
      </w:r>
      <w:proofErr w:type="gramStart"/>
      <w:r w:rsidRPr="00FA6C4F">
        <w:rPr>
          <w:rFonts w:ascii="Times New Roman" w:eastAsia="Times New Roman" w:hAnsi="Times New Roman" w:cs="Times New Roman"/>
          <w:color w:val="000000"/>
          <w:sz w:val="27"/>
          <w:szCs w:val="27"/>
          <w:lang w:val="en-US" w:eastAsia="fr-FR"/>
        </w:rPr>
        <w:t>,R.K</w:t>
      </w:r>
      <w:proofErr w:type="spellEnd"/>
      <w:proofErr w:type="gramEnd"/>
      <w:r w:rsidRPr="00FA6C4F">
        <w:rPr>
          <w:rFonts w:ascii="Times New Roman" w:eastAsia="Times New Roman" w:hAnsi="Times New Roman" w:cs="Times New Roman"/>
          <w:color w:val="000000"/>
          <w:sz w:val="27"/>
          <w:szCs w:val="27"/>
          <w:lang w:val="en-US" w:eastAsia="fr-FR"/>
        </w:rPr>
        <w:t xml:space="preserve">.(2014).Case study </w:t>
      </w:r>
      <w:proofErr w:type="spellStart"/>
      <w:r w:rsidRPr="00FA6C4F">
        <w:rPr>
          <w:rFonts w:ascii="Times New Roman" w:eastAsia="Times New Roman" w:hAnsi="Times New Roman" w:cs="Times New Roman"/>
          <w:color w:val="000000"/>
          <w:sz w:val="27"/>
          <w:szCs w:val="27"/>
          <w:lang w:val="en-US" w:eastAsia="fr-FR"/>
        </w:rPr>
        <w:t>research:Design</w:t>
      </w:r>
      <w:proofErr w:type="spellEnd"/>
      <w:r w:rsidRPr="00FA6C4F">
        <w:rPr>
          <w:rFonts w:ascii="Times New Roman" w:eastAsia="Times New Roman" w:hAnsi="Times New Roman" w:cs="Times New Roman"/>
          <w:color w:val="000000"/>
          <w:sz w:val="27"/>
          <w:szCs w:val="27"/>
          <w:lang w:val="en-US" w:eastAsia="fr-FR"/>
        </w:rPr>
        <w:t xml:space="preserve"> and </w:t>
      </w:r>
      <w:proofErr w:type="spellStart"/>
      <w:r w:rsidRPr="00FA6C4F">
        <w:rPr>
          <w:rFonts w:ascii="Times New Roman" w:eastAsia="Times New Roman" w:hAnsi="Times New Roman" w:cs="Times New Roman"/>
          <w:color w:val="000000"/>
          <w:sz w:val="27"/>
          <w:szCs w:val="27"/>
          <w:lang w:val="en-US" w:eastAsia="fr-FR"/>
        </w:rPr>
        <w:t>methods.Sage</w:t>
      </w:r>
      <w:proofErr w:type="spellEnd"/>
      <w:r w:rsidRPr="00FA6C4F">
        <w:rPr>
          <w:rFonts w:ascii="Times New Roman" w:eastAsia="Times New Roman" w:hAnsi="Times New Roman" w:cs="Times New Roman"/>
          <w:color w:val="000000"/>
          <w:sz w:val="27"/>
          <w:szCs w:val="27"/>
          <w:lang w:val="en-US" w:eastAsia="fr-FR"/>
        </w:rPr>
        <w:t xml:space="preserve"> Publications.</w:t>
      </w:r>
    </w:p>
    <w:p w:rsidR="007F7FC7" w:rsidRDefault="007F7FC7" w:rsidP="007F7FC7">
      <w:pPr>
        <w:spacing w:before="100" w:beforeAutospacing="1" w:after="100" w:afterAutospacing="1" w:line="240" w:lineRule="auto"/>
        <w:ind w:left="720"/>
        <w:rPr>
          <w:rFonts w:ascii="Times New Roman" w:eastAsia="Times New Roman" w:hAnsi="Times New Roman" w:cs="Times New Roman"/>
          <w:color w:val="000000"/>
          <w:sz w:val="27"/>
          <w:szCs w:val="27"/>
          <w:lang w:eastAsia="fr-FR"/>
        </w:rPr>
      </w:pPr>
    </w:p>
    <w:p w:rsidR="00160FD1" w:rsidRDefault="00160FD1" w:rsidP="007F7FC7">
      <w:pPr>
        <w:spacing w:before="100" w:beforeAutospacing="1" w:after="100" w:afterAutospacing="1" w:line="240" w:lineRule="auto"/>
        <w:ind w:left="720"/>
        <w:rPr>
          <w:rFonts w:ascii="Times New Roman" w:eastAsia="Times New Roman" w:hAnsi="Times New Roman" w:cs="Times New Roman"/>
          <w:color w:val="000000"/>
          <w:sz w:val="27"/>
          <w:szCs w:val="27"/>
          <w:lang w:eastAsia="fr-FR"/>
        </w:rPr>
      </w:pP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7F7FC7">
        <w:rPr>
          <w:rFonts w:ascii="Times New Roman" w:eastAsia="Times New Roman" w:hAnsi="Times New Roman" w:cs="Times New Roman"/>
          <w:color w:val="000000"/>
          <w:sz w:val="27"/>
          <w:szCs w:val="27"/>
          <w:lang w:eastAsia="fr-FR"/>
        </w:rPr>
        <w:t>Adger</w:t>
      </w:r>
      <w:proofErr w:type="spellEnd"/>
      <w:r w:rsidRPr="007F7FC7">
        <w:rPr>
          <w:rFonts w:ascii="Times New Roman" w:eastAsia="Times New Roman" w:hAnsi="Times New Roman" w:cs="Times New Roman"/>
          <w:color w:val="000000"/>
          <w:sz w:val="27"/>
          <w:szCs w:val="27"/>
          <w:lang w:eastAsia="fr-FR"/>
        </w:rPr>
        <w:t xml:space="preserve">, W. N. (2006). </w:t>
      </w:r>
      <w:proofErr w:type="spellStart"/>
      <w:r w:rsidRPr="007F7FC7">
        <w:rPr>
          <w:rFonts w:ascii="Times New Roman" w:eastAsia="Times New Roman" w:hAnsi="Times New Roman" w:cs="Times New Roman"/>
          <w:color w:val="000000"/>
          <w:sz w:val="27"/>
          <w:szCs w:val="27"/>
          <w:lang w:eastAsia="fr-FR"/>
        </w:rPr>
        <w:t>Vulnerability</w:t>
      </w:r>
      <w:proofErr w:type="spellEnd"/>
      <w:r w:rsidRPr="007F7FC7">
        <w:rPr>
          <w:rFonts w:ascii="Times New Roman" w:eastAsia="Times New Roman" w:hAnsi="Times New Roman" w:cs="Times New Roman"/>
          <w:color w:val="000000"/>
          <w:sz w:val="27"/>
          <w:szCs w:val="27"/>
          <w:lang w:eastAsia="fr-FR"/>
        </w:rPr>
        <w:t xml:space="preserve">. Global </w:t>
      </w:r>
      <w:proofErr w:type="spellStart"/>
      <w:r w:rsidRPr="007F7FC7">
        <w:rPr>
          <w:rFonts w:ascii="Times New Roman" w:eastAsia="Times New Roman" w:hAnsi="Times New Roman" w:cs="Times New Roman"/>
          <w:color w:val="000000"/>
          <w:sz w:val="27"/>
          <w:szCs w:val="27"/>
          <w:lang w:eastAsia="fr-FR"/>
        </w:rPr>
        <w:t>environmental</w:t>
      </w:r>
      <w:proofErr w:type="spellEnd"/>
      <w:r w:rsidRPr="007F7FC7">
        <w:rPr>
          <w:rFonts w:ascii="Times New Roman" w:eastAsia="Times New Roman" w:hAnsi="Times New Roman" w:cs="Times New Roman"/>
          <w:color w:val="000000"/>
          <w:sz w:val="27"/>
          <w:szCs w:val="27"/>
          <w:lang w:eastAsia="fr-FR"/>
        </w:rPr>
        <w:t xml:space="preserve"> change, 16(3), 268-281.</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proofErr w:type="spellStart"/>
      <w:r w:rsidRPr="007F7FC7">
        <w:rPr>
          <w:rFonts w:ascii="Times New Roman" w:eastAsia="Times New Roman" w:hAnsi="Times New Roman" w:cs="Times New Roman"/>
          <w:color w:val="000000"/>
          <w:sz w:val="27"/>
          <w:szCs w:val="27"/>
          <w:lang w:val="en-US" w:eastAsia="fr-FR"/>
        </w:rPr>
        <w:t>Bakewell</w:t>
      </w:r>
      <w:proofErr w:type="spellEnd"/>
      <w:r w:rsidRPr="007F7FC7">
        <w:rPr>
          <w:rFonts w:ascii="Times New Roman" w:eastAsia="Times New Roman" w:hAnsi="Times New Roman" w:cs="Times New Roman"/>
          <w:color w:val="000000"/>
          <w:sz w:val="27"/>
          <w:szCs w:val="27"/>
          <w:lang w:val="en-US" w:eastAsia="fr-FR"/>
        </w:rPr>
        <w:t>, O. (2014). Encampment and self-settlement. The Oxford handbook of refugee and forced migration studies, 127-140.</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val="en-US" w:eastAsia="fr-FR"/>
        </w:rPr>
        <w:t xml:space="preserve">Betts, A., Bloom, L., Kaplan, J., &amp; </w:t>
      </w:r>
      <w:proofErr w:type="spellStart"/>
      <w:r w:rsidRPr="007F7FC7">
        <w:rPr>
          <w:rFonts w:ascii="Times New Roman" w:eastAsia="Times New Roman" w:hAnsi="Times New Roman" w:cs="Times New Roman"/>
          <w:color w:val="000000"/>
          <w:sz w:val="27"/>
          <w:szCs w:val="27"/>
          <w:lang w:val="en-US" w:eastAsia="fr-FR"/>
        </w:rPr>
        <w:t>Omata</w:t>
      </w:r>
      <w:proofErr w:type="spellEnd"/>
      <w:r w:rsidRPr="007F7FC7">
        <w:rPr>
          <w:rFonts w:ascii="Times New Roman" w:eastAsia="Times New Roman" w:hAnsi="Times New Roman" w:cs="Times New Roman"/>
          <w:color w:val="000000"/>
          <w:sz w:val="27"/>
          <w:szCs w:val="27"/>
          <w:lang w:val="en-US" w:eastAsia="fr-FR"/>
        </w:rPr>
        <w:t xml:space="preserve">, N. (2017). Refugee economies: forced displacement and development. </w:t>
      </w:r>
      <w:r w:rsidRPr="007F7FC7">
        <w:rPr>
          <w:rFonts w:ascii="Times New Roman" w:eastAsia="Times New Roman" w:hAnsi="Times New Roman" w:cs="Times New Roman"/>
          <w:color w:val="000000"/>
          <w:sz w:val="27"/>
          <w:szCs w:val="27"/>
          <w:lang w:eastAsia="fr-FR"/>
        </w:rPr>
        <w:t xml:space="preserve">Oxford </w:t>
      </w:r>
      <w:proofErr w:type="spellStart"/>
      <w:r w:rsidRPr="007F7FC7">
        <w:rPr>
          <w:rFonts w:ascii="Times New Roman" w:eastAsia="Times New Roman" w:hAnsi="Times New Roman" w:cs="Times New Roman"/>
          <w:color w:val="000000"/>
          <w:sz w:val="27"/>
          <w:szCs w:val="27"/>
          <w:lang w:eastAsia="fr-FR"/>
        </w:rPr>
        <w:t>University</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Press</w:t>
      </w:r>
      <w:proofErr w:type="spellEnd"/>
      <w:r w:rsidRPr="007F7FC7">
        <w:rPr>
          <w:rFonts w:ascii="Times New Roman" w:eastAsia="Times New Roman" w:hAnsi="Times New Roman" w:cs="Times New Roman"/>
          <w:color w:val="000000"/>
          <w:sz w:val="27"/>
          <w:szCs w:val="27"/>
          <w:lang w:eastAsia="fr-FR"/>
        </w:rPr>
        <w:t>.</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7F7FC7">
        <w:rPr>
          <w:rFonts w:ascii="Times New Roman" w:eastAsia="Times New Roman" w:hAnsi="Times New Roman" w:cs="Times New Roman"/>
          <w:color w:val="000000"/>
          <w:sz w:val="27"/>
          <w:szCs w:val="27"/>
          <w:lang w:val="en-US" w:eastAsia="fr-FR"/>
        </w:rPr>
        <w:t>Birkmann</w:t>
      </w:r>
      <w:proofErr w:type="spellEnd"/>
      <w:r w:rsidRPr="007F7FC7">
        <w:rPr>
          <w:rFonts w:ascii="Times New Roman" w:eastAsia="Times New Roman" w:hAnsi="Times New Roman" w:cs="Times New Roman"/>
          <w:color w:val="000000"/>
          <w:sz w:val="27"/>
          <w:szCs w:val="27"/>
          <w:lang w:val="en-US" w:eastAsia="fr-FR"/>
        </w:rPr>
        <w:t xml:space="preserve">, J. (2006). Measuring vulnerability to promote disaster-resilient societies: Conceptual frameworks and definitions. </w:t>
      </w:r>
      <w:proofErr w:type="spellStart"/>
      <w:r w:rsidRPr="007F7FC7">
        <w:rPr>
          <w:rFonts w:ascii="Times New Roman" w:eastAsia="Times New Roman" w:hAnsi="Times New Roman" w:cs="Times New Roman"/>
          <w:color w:val="000000"/>
          <w:sz w:val="27"/>
          <w:szCs w:val="27"/>
          <w:lang w:eastAsia="fr-FR"/>
        </w:rPr>
        <w:t>Measuring</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vulnerability</w:t>
      </w:r>
      <w:proofErr w:type="spellEnd"/>
      <w:r w:rsidRPr="007F7FC7">
        <w:rPr>
          <w:rFonts w:ascii="Times New Roman" w:eastAsia="Times New Roman" w:hAnsi="Times New Roman" w:cs="Times New Roman"/>
          <w:color w:val="000000"/>
          <w:sz w:val="27"/>
          <w:szCs w:val="27"/>
          <w:lang w:eastAsia="fr-FR"/>
        </w:rPr>
        <w:t xml:space="preserve"> to </w:t>
      </w:r>
      <w:proofErr w:type="spellStart"/>
      <w:r w:rsidRPr="007F7FC7">
        <w:rPr>
          <w:rFonts w:ascii="Times New Roman" w:eastAsia="Times New Roman" w:hAnsi="Times New Roman" w:cs="Times New Roman"/>
          <w:color w:val="000000"/>
          <w:sz w:val="27"/>
          <w:szCs w:val="27"/>
          <w:lang w:eastAsia="fr-FR"/>
        </w:rPr>
        <w:t>natural</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hazards</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Towards</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disaster</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resilient</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societies</w:t>
      </w:r>
      <w:proofErr w:type="spellEnd"/>
      <w:r w:rsidRPr="007F7FC7">
        <w:rPr>
          <w:rFonts w:ascii="Times New Roman" w:eastAsia="Times New Roman" w:hAnsi="Times New Roman" w:cs="Times New Roman"/>
          <w:color w:val="000000"/>
          <w:sz w:val="27"/>
          <w:szCs w:val="27"/>
          <w:lang w:eastAsia="fr-FR"/>
        </w:rPr>
        <w:t>, 1, 9-54.</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val="en-US" w:eastAsia="fr-FR"/>
        </w:rPr>
        <w:lastRenderedPageBreak/>
        <w:t xml:space="preserve">Chambers, R. (2006). Vulnerability, coping and policy (editorial introduction). </w:t>
      </w:r>
      <w:r w:rsidRPr="007F7FC7">
        <w:rPr>
          <w:rFonts w:ascii="Times New Roman" w:eastAsia="Times New Roman" w:hAnsi="Times New Roman" w:cs="Times New Roman"/>
          <w:color w:val="000000"/>
          <w:sz w:val="27"/>
          <w:szCs w:val="27"/>
          <w:lang w:eastAsia="fr-FR"/>
        </w:rPr>
        <w:t>IDS bulletin, 37(4), 33-40.</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val="en-US" w:eastAsia="fr-FR"/>
        </w:rPr>
        <w:t xml:space="preserve">Crisp, J., Morris, T., &amp; </w:t>
      </w:r>
      <w:proofErr w:type="spellStart"/>
      <w:r w:rsidRPr="007F7FC7">
        <w:rPr>
          <w:rFonts w:ascii="Times New Roman" w:eastAsia="Times New Roman" w:hAnsi="Times New Roman" w:cs="Times New Roman"/>
          <w:color w:val="000000"/>
          <w:sz w:val="27"/>
          <w:szCs w:val="27"/>
          <w:lang w:val="en-US" w:eastAsia="fr-FR"/>
        </w:rPr>
        <w:t>Refstie</w:t>
      </w:r>
      <w:proofErr w:type="spellEnd"/>
      <w:r w:rsidRPr="007F7FC7">
        <w:rPr>
          <w:rFonts w:ascii="Times New Roman" w:eastAsia="Times New Roman" w:hAnsi="Times New Roman" w:cs="Times New Roman"/>
          <w:color w:val="000000"/>
          <w:sz w:val="27"/>
          <w:szCs w:val="27"/>
          <w:lang w:val="en-US" w:eastAsia="fr-FR"/>
        </w:rPr>
        <w:t xml:space="preserve">, H. (2012). Displacement in urban areas: new challenges, new partnerships. </w:t>
      </w:r>
      <w:proofErr w:type="spellStart"/>
      <w:r w:rsidRPr="007F7FC7">
        <w:rPr>
          <w:rFonts w:ascii="Times New Roman" w:eastAsia="Times New Roman" w:hAnsi="Times New Roman" w:cs="Times New Roman"/>
          <w:color w:val="000000"/>
          <w:sz w:val="27"/>
          <w:szCs w:val="27"/>
          <w:lang w:eastAsia="fr-FR"/>
        </w:rPr>
        <w:t>Disasters</w:t>
      </w:r>
      <w:proofErr w:type="spellEnd"/>
      <w:r w:rsidRPr="007F7FC7">
        <w:rPr>
          <w:rFonts w:ascii="Times New Roman" w:eastAsia="Times New Roman" w:hAnsi="Times New Roman" w:cs="Times New Roman"/>
          <w:color w:val="000000"/>
          <w:sz w:val="27"/>
          <w:szCs w:val="27"/>
          <w:lang w:eastAsia="fr-FR"/>
        </w:rPr>
        <w:t>, 36(s1), S23-S42.</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val="en-US" w:eastAsia="fr-FR"/>
        </w:rPr>
        <w:t xml:space="preserve">Jacobsen, K., &amp; Landau, L. B. (2003). The dual imperative in refugee research: some methodological and ethical considerations in social science research on forced migration. </w:t>
      </w:r>
      <w:proofErr w:type="spellStart"/>
      <w:r w:rsidRPr="007F7FC7">
        <w:rPr>
          <w:rFonts w:ascii="Times New Roman" w:eastAsia="Times New Roman" w:hAnsi="Times New Roman" w:cs="Times New Roman"/>
          <w:color w:val="000000"/>
          <w:sz w:val="27"/>
          <w:szCs w:val="27"/>
          <w:lang w:eastAsia="fr-FR"/>
        </w:rPr>
        <w:t>Disasters</w:t>
      </w:r>
      <w:proofErr w:type="spellEnd"/>
      <w:r w:rsidRPr="007F7FC7">
        <w:rPr>
          <w:rFonts w:ascii="Times New Roman" w:eastAsia="Times New Roman" w:hAnsi="Times New Roman" w:cs="Times New Roman"/>
          <w:color w:val="000000"/>
          <w:sz w:val="27"/>
          <w:szCs w:val="27"/>
          <w:lang w:eastAsia="fr-FR"/>
        </w:rPr>
        <w:t>, 27(3), 185-206.</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7F7FC7">
        <w:rPr>
          <w:rFonts w:ascii="Times New Roman" w:eastAsia="Times New Roman" w:hAnsi="Times New Roman" w:cs="Times New Roman"/>
          <w:color w:val="000000"/>
          <w:sz w:val="27"/>
          <w:szCs w:val="27"/>
          <w:lang w:val="en-US" w:eastAsia="fr-FR"/>
        </w:rPr>
        <w:t>Kibreab</w:t>
      </w:r>
      <w:proofErr w:type="spellEnd"/>
      <w:r w:rsidRPr="007F7FC7">
        <w:rPr>
          <w:rFonts w:ascii="Times New Roman" w:eastAsia="Times New Roman" w:hAnsi="Times New Roman" w:cs="Times New Roman"/>
          <w:color w:val="000000"/>
          <w:sz w:val="27"/>
          <w:szCs w:val="27"/>
          <w:lang w:val="en-US" w:eastAsia="fr-FR"/>
        </w:rPr>
        <w:t xml:space="preserve">, G. (2004). Pulling the wool over the eyes of the strangers: refugee deceit and trickery in institutionalized settings. </w:t>
      </w:r>
      <w:r w:rsidRPr="007F7FC7">
        <w:rPr>
          <w:rFonts w:ascii="Times New Roman" w:eastAsia="Times New Roman" w:hAnsi="Times New Roman" w:cs="Times New Roman"/>
          <w:color w:val="000000"/>
          <w:sz w:val="27"/>
          <w:szCs w:val="27"/>
          <w:lang w:eastAsia="fr-FR"/>
        </w:rPr>
        <w:t xml:space="preserve">Journal of </w:t>
      </w:r>
      <w:proofErr w:type="spellStart"/>
      <w:r w:rsidRPr="007F7FC7">
        <w:rPr>
          <w:rFonts w:ascii="Times New Roman" w:eastAsia="Times New Roman" w:hAnsi="Times New Roman" w:cs="Times New Roman"/>
          <w:color w:val="000000"/>
          <w:sz w:val="27"/>
          <w:szCs w:val="27"/>
          <w:lang w:eastAsia="fr-FR"/>
        </w:rPr>
        <w:t>Refugee</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Studies</w:t>
      </w:r>
      <w:proofErr w:type="spellEnd"/>
      <w:r w:rsidRPr="007F7FC7">
        <w:rPr>
          <w:rFonts w:ascii="Times New Roman" w:eastAsia="Times New Roman" w:hAnsi="Times New Roman" w:cs="Times New Roman"/>
          <w:color w:val="000000"/>
          <w:sz w:val="27"/>
          <w:szCs w:val="27"/>
          <w:lang w:eastAsia="fr-FR"/>
        </w:rPr>
        <w:t>, 17(1), 1-26.</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7F7FC7">
        <w:rPr>
          <w:rFonts w:ascii="Times New Roman" w:eastAsia="Times New Roman" w:hAnsi="Times New Roman" w:cs="Times New Roman"/>
          <w:color w:val="000000"/>
          <w:sz w:val="27"/>
          <w:szCs w:val="27"/>
          <w:lang w:val="en-US" w:eastAsia="fr-FR"/>
        </w:rPr>
        <w:t>Magis</w:t>
      </w:r>
      <w:proofErr w:type="spellEnd"/>
      <w:r w:rsidRPr="007F7FC7">
        <w:rPr>
          <w:rFonts w:ascii="Times New Roman" w:eastAsia="Times New Roman" w:hAnsi="Times New Roman" w:cs="Times New Roman"/>
          <w:color w:val="000000"/>
          <w:sz w:val="27"/>
          <w:szCs w:val="27"/>
          <w:lang w:val="en-US" w:eastAsia="fr-FR"/>
        </w:rPr>
        <w:t xml:space="preserve">, K. (2010). Community resilience: An indicator of social sustainability. </w:t>
      </w:r>
      <w:r w:rsidRPr="007F7FC7">
        <w:rPr>
          <w:rFonts w:ascii="Times New Roman" w:eastAsia="Times New Roman" w:hAnsi="Times New Roman" w:cs="Times New Roman"/>
          <w:color w:val="000000"/>
          <w:sz w:val="27"/>
          <w:szCs w:val="27"/>
          <w:lang w:eastAsia="fr-FR"/>
        </w:rPr>
        <w:t xml:space="preserve">Society and </w:t>
      </w:r>
      <w:proofErr w:type="spellStart"/>
      <w:r w:rsidRPr="007F7FC7">
        <w:rPr>
          <w:rFonts w:ascii="Times New Roman" w:eastAsia="Times New Roman" w:hAnsi="Times New Roman" w:cs="Times New Roman"/>
          <w:color w:val="000000"/>
          <w:sz w:val="27"/>
          <w:szCs w:val="27"/>
          <w:lang w:eastAsia="fr-FR"/>
        </w:rPr>
        <w:t>natural</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resources</w:t>
      </w:r>
      <w:proofErr w:type="spellEnd"/>
      <w:r w:rsidRPr="007F7FC7">
        <w:rPr>
          <w:rFonts w:ascii="Times New Roman" w:eastAsia="Times New Roman" w:hAnsi="Times New Roman" w:cs="Times New Roman"/>
          <w:color w:val="000000"/>
          <w:sz w:val="27"/>
          <w:szCs w:val="27"/>
          <w:lang w:eastAsia="fr-FR"/>
        </w:rPr>
        <w:t>, 23(5), 401-416.</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r w:rsidRPr="007F7FC7">
        <w:rPr>
          <w:rFonts w:ascii="Times New Roman" w:eastAsia="Times New Roman" w:hAnsi="Times New Roman" w:cs="Times New Roman"/>
          <w:color w:val="000000"/>
          <w:sz w:val="27"/>
          <w:szCs w:val="27"/>
          <w:lang w:val="en-US" w:eastAsia="fr-FR"/>
        </w:rPr>
        <w:t xml:space="preserve">Martin, S., &amp; </w:t>
      </w:r>
      <w:proofErr w:type="spellStart"/>
      <w:r w:rsidRPr="007F7FC7">
        <w:rPr>
          <w:rFonts w:ascii="Times New Roman" w:eastAsia="Times New Roman" w:hAnsi="Times New Roman" w:cs="Times New Roman"/>
          <w:color w:val="000000"/>
          <w:sz w:val="27"/>
          <w:szCs w:val="27"/>
          <w:lang w:val="en-US" w:eastAsia="fr-FR"/>
        </w:rPr>
        <w:t>Weerasinghe</w:t>
      </w:r>
      <w:proofErr w:type="spellEnd"/>
      <w:r w:rsidRPr="007F7FC7">
        <w:rPr>
          <w:rFonts w:ascii="Times New Roman" w:eastAsia="Times New Roman" w:hAnsi="Times New Roman" w:cs="Times New Roman"/>
          <w:color w:val="000000"/>
          <w:sz w:val="27"/>
          <w:szCs w:val="27"/>
          <w:lang w:val="en-US" w:eastAsia="fr-FR"/>
        </w:rPr>
        <w:t>, S. (2014). The protection of internally displaced persons: Law and policy frameworks in Africa. In The Oxford handbook of refugee and forced migration studies (pp. 1-14).</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eastAsia="fr-FR"/>
        </w:rPr>
        <w:t xml:space="preserve">Norris, F. H., Stevens, S. P., </w:t>
      </w:r>
      <w:proofErr w:type="spellStart"/>
      <w:r w:rsidRPr="007F7FC7">
        <w:rPr>
          <w:rFonts w:ascii="Times New Roman" w:eastAsia="Times New Roman" w:hAnsi="Times New Roman" w:cs="Times New Roman"/>
          <w:color w:val="000000"/>
          <w:sz w:val="27"/>
          <w:szCs w:val="27"/>
          <w:lang w:eastAsia="fr-FR"/>
        </w:rPr>
        <w:t>Pfefferbaum</w:t>
      </w:r>
      <w:proofErr w:type="spellEnd"/>
      <w:r w:rsidRPr="007F7FC7">
        <w:rPr>
          <w:rFonts w:ascii="Times New Roman" w:eastAsia="Times New Roman" w:hAnsi="Times New Roman" w:cs="Times New Roman"/>
          <w:color w:val="000000"/>
          <w:sz w:val="27"/>
          <w:szCs w:val="27"/>
          <w:lang w:eastAsia="fr-FR"/>
        </w:rPr>
        <w:t xml:space="preserve">, B., </w:t>
      </w:r>
      <w:proofErr w:type="spellStart"/>
      <w:r w:rsidRPr="007F7FC7">
        <w:rPr>
          <w:rFonts w:ascii="Times New Roman" w:eastAsia="Times New Roman" w:hAnsi="Times New Roman" w:cs="Times New Roman"/>
          <w:color w:val="000000"/>
          <w:sz w:val="27"/>
          <w:szCs w:val="27"/>
          <w:lang w:eastAsia="fr-FR"/>
        </w:rPr>
        <w:t>Wyche</w:t>
      </w:r>
      <w:proofErr w:type="spellEnd"/>
      <w:r w:rsidRPr="007F7FC7">
        <w:rPr>
          <w:rFonts w:ascii="Times New Roman" w:eastAsia="Times New Roman" w:hAnsi="Times New Roman" w:cs="Times New Roman"/>
          <w:color w:val="000000"/>
          <w:sz w:val="27"/>
          <w:szCs w:val="27"/>
          <w:lang w:eastAsia="fr-FR"/>
        </w:rPr>
        <w:t xml:space="preserve">, K. F., &amp; </w:t>
      </w:r>
      <w:proofErr w:type="spellStart"/>
      <w:r w:rsidRPr="007F7FC7">
        <w:rPr>
          <w:rFonts w:ascii="Times New Roman" w:eastAsia="Times New Roman" w:hAnsi="Times New Roman" w:cs="Times New Roman"/>
          <w:color w:val="000000"/>
          <w:sz w:val="27"/>
          <w:szCs w:val="27"/>
          <w:lang w:eastAsia="fr-FR"/>
        </w:rPr>
        <w:t>Pfefferbaum</w:t>
      </w:r>
      <w:proofErr w:type="spellEnd"/>
      <w:r w:rsidRPr="007F7FC7">
        <w:rPr>
          <w:rFonts w:ascii="Times New Roman" w:eastAsia="Times New Roman" w:hAnsi="Times New Roman" w:cs="Times New Roman"/>
          <w:color w:val="000000"/>
          <w:sz w:val="27"/>
          <w:szCs w:val="27"/>
          <w:lang w:eastAsia="fr-FR"/>
        </w:rPr>
        <w:t xml:space="preserve">, R. L. (2008). </w:t>
      </w:r>
      <w:r w:rsidRPr="007F7FC7">
        <w:rPr>
          <w:rFonts w:ascii="Times New Roman" w:eastAsia="Times New Roman" w:hAnsi="Times New Roman" w:cs="Times New Roman"/>
          <w:color w:val="000000"/>
          <w:sz w:val="27"/>
          <w:szCs w:val="27"/>
          <w:lang w:val="en-US" w:eastAsia="fr-FR"/>
        </w:rPr>
        <w:t xml:space="preserve">Community resilience as a metaphor, theory, set of capacities, and strategy for disaster readiness. </w:t>
      </w:r>
      <w:r w:rsidRPr="007F7FC7">
        <w:rPr>
          <w:rFonts w:ascii="Times New Roman" w:eastAsia="Times New Roman" w:hAnsi="Times New Roman" w:cs="Times New Roman"/>
          <w:color w:val="000000"/>
          <w:sz w:val="27"/>
          <w:szCs w:val="27"/>
          <w:lang w:eastAsia="fr-FR"/>
        </w:rPr>
        <w:t xml:space="preserve">American journal of </w:t>
      </w:r>
      <w:proofErr w:type="spellStart"/>
      <w:r w:rsidRPr="007F7FC7">
        <w:rPr>
          <w:rFonts w:ascii="Times New Roman" w:eastAsia="Times New Roman" w:hAnsi="Times New Roman" w:cs="Times New Roman"/>
          <w:color w:val="000000"/>
          <w:sz w:val="27"/>
          <w:szCs w:val="27"/>
          <w:lang w:eastAsia="fr-FR"/>
        </w:rPr>
        <w:t>community</w:t>
      </w:r>
      <w:proofErr w:type="spellEnd"/>
      <w:r w:rsidRPr="007F7FC7">
        <w:rPr>
          <w:rFonts w:ascii="Times New Roman" w:eastAsia="Times New Roman" w:hAnsi="Times New Roman" w:cs="Times New Roman"/>
          <w:color w:val="000000"/>
          <w:sz w:val="27"/>
          <w:szCs w:val="27"/>
          <w:lang w:eastAsia="fr-FR"/>
        </w:rPr>
        <w:t xml:space="preserve"> </w:t>
      </w:r>
      <w:proofErr w:type="spellStart"/>
      <w:r w:rsidRPr="007F7FC7">
        <w:rPr>
          <w:rFonts w:ascii="Times New Roman" w:eastAsia="Times New Roman" w:hAnsi="Times New Roman" w:cs="Times New Roman"/>
          <w:color w:val="000000"/>
          <w:sz w:val="27"/>
          <w:szCs w:val="27"/>
          <w:lang w:eastAsia="fr-FR"/>
        </w:rPr>
        <w:t>psychology</w:t>
      </w:r>
      <w:proofErr w:type="spellEnd"/>
      <w:r w:rsidRPr="007F7FC7">
        <w:rPr>
          <w:rFonts w:ascii="Times New Roman" w:eastAsia="Times New Roman" w:hAnsi="Times New Roman" w:cs="Times New Roman"/>
          <w:color w:val="000000"/>
          <w:sz w:val="27"/>
          <w:szCs w:val="27"/>
          <w:lang w:eastAsia="fr-FR"/>
        </w:rPr>
        <w:t>, 41(1-2), 127-150.</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7F7FC7">
        <w:rPr>
          <w:rFonts w:ascii="Times New Roman" w:eastAsia="Times New Roman" w:hAnsi="Times New Roman" w:cs="Times New Roman"/>
          <w:color w:val="000000"/>
          <w:sz w:val="27"/>
          <w:szCs w:val="27"/>
          <w:lang w:val="en-US" w:eastAsia="fr-FR"/>
        </w:rPr>
        <w:t xml:space="preserve">Porter, M., &amp; </w:t>
      </w:r>
      <w:proofErr w:type="spellStart"/>
      <w:r w:rsidRPr="007F7FC7">
        <w:rPr>
          <w:rFonts w:ascii="Times New Roman" w:eastAsia="Times New Roman" w:hAnsi="Times New Roman" w:cs="Times New Roman"/>
          <w:color w:val="000000"/>
          <w:sz w:val="27"/>
          <w:szCs w:val="27"/>
          <w:lang w:val="en-US" w:eastAsia="fr-FR"/>
        </w:rPr>
        <w:t>Haslam</w:t>
      </w:r>
      <w:proofErr w:type="spellEnd"/>
      <w:r w:rsidRPr="007F7FC7">
        <w:rPr>
          <w:rFonts w:ascii="Times New Roman" w:eastAsia="Times New Roman" w:hAnsi="Times New Roman" w:cs="Times New Roman"/>
          <w:color w:val="000000"/>
          <w:sz w:val="27"/>
          <w:szCs w:val="27"/>
          <w:lang w:val="en-US" w:eastAsia="fr-FR"/>
        </w:rPr>
        <w:t xml:space="preserve">, N. (2005). </w:t>
      </w:r>
      <w:proofErr w:type="spellStart"/>
      <w:r w:rsidRPr="007F7FC7">
        <w:rPr>
          <w:rFonts w:ascii="Times New Roman" w:eastAsia="Times New Roman" w:hAnsi="Times New Roman" w:cs="Times New Roman"/>
          <w:color w:val="000000"/>
          <w:sz w:val="27"/>
          <w:szCs w:val="27"/>
          <w:lang w:val="en-US" w:eastAsia="fr-FR"/>
        </w:rPr>
        <w:t>Predisplacement</w:t>
      </w:r>
      <w:proofErr w:type="spellEnd"/>
      <w:r w:rsidRPr="007F7FC7">
        <w:rPr>
          <w:rFonts w:ascii="Times New Roman" w:eastAsia="Times New Roman" w:hAnsi="Times New Roman" w:cs="Times New Roman"/>
          <w:color w:val="000000"/>
          <w:sz w:val="27"/>
          <w:szCs w:val="27"/>
          <w:lang w:val="en-US" w:eastAsia="fr-FR"/>
        </w:rPr>
        <w:t xml:space="preserve"> and </w:t>
      </w:r>
      <w:proofErr w:type="spellStart"/>
      <w:r w:rsidRPr="007F7FC7">
        <w:rPr>
          <w:rFonts w:ascii="Times New Roman" w:eastAsia="Times New Roman" w:hAnsi="Times New Roman" w:cs="Times New Roman"/>
          <w:color w:val="000000"/>
          <w:sz w:val="27"/>
          <w:szCs w:val="27"/>
          <w:lang w:val="en-US" w:eastAsia="fr-FR"/>
        </w:rPr>
        <w:t>postdisplacement</w:t>
      </w:r>
      <w:proofErr w:type="spellEnd"/>
      <w:r w:rsidRPr="007F7FC7">
        <w:rPr>
          <w:rFonts w:ascii="Times New Roman" w:eastAsia="Times New Roman" w:hAnsi="Times New Roman" w:cs="Times New Roman"/>
          <w:color w:val="000000"/>
          <w:sz w:val="27"/>
          <w:szCs w:val="27"/>
          <w:lang w:val="en-US" w:eastAsia="fr-FR"/>
        </w:rPr>
        <w:t xml:space="preserve"> factors associated with mental health of refugees and internally displaced persons: a meta-analysis. </w:t>
      </w:r>
      <w:proofErr w:type="spellStart"/>
      <w:r w:rsidRPr="007F7FC7">
        <w:rPr>
          <w:rFonts w:ascii="Times New Roman" w:eastAsia="Times New Roman" w:hAnsi="Times New Roman" w:cs="Times New Roman"/>
          <w:color w:val="000000"/>
          <w:sz w:val="27"/>
          <w:szCs w:val="27"/>
          <w:lang w:eastAsia="fr-FR"/>
        </w:rPr>
        <w:t>Jama</w:t>
      </w:r>
      <w:proofErr w:type="spellEnd"/>
      <w:r w:rsidRPr="007F7FC7">
        <w:rPr>
          <w:rFonts w:ascii="Times New Roman" w:eastAsia="Times New Roman" w:hAnsi="Times New Roman" w:cs="Times New Roman"/>
          <w:color w:val="000000"/>
          <w:sz w:val="27"/>
          <w:szCs w:val="27"/>
          <w:lang w:eastAsia="fr-FR"/>
        </w:rPr>
        <w:t>, 294(5), 602-612.</w:t>
      </w:r>
    </w:p>
    <w:p w:rsidR="007F7FC7"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val="en-US" w:eastAsia="fr-FR"/>
        </w:rPr>
      </w:pPr>
      <w:proofErr w:type="spellStart"/>
      <w:r w:rsidRPr="007F7FC7">
        <w:rPr>
          <w:rFonts w:ascii="Times New Roman" w:eastAsia="Times New Roman" w:hAnsi="Times New Roman" w:cs="Times New Roman"/>
          <w:color w:val="000000"/>
          <w:sz w:val="27"/>
          <w:szCs w:val="27"/>
          <w:lang w:val="en-US" w:eastAsia="fr-FR"/>
        </w:rPr>
        <w:t>Silove</w:t>
      </w:r>
      <w:proofErr w:type="spellEnd"/>
      <w:r w:rsidRPr="007F7FC7">
        <w:rPr>
          <w:rFonts w:ascii="Times New Roman" w:eastAsia="Times New Roman" w:hAnsi="Times New Roman" w:cs="Times New Roman"/>
          <w:color w:val="000000"/>
          <w:sz w:val="27"/>
          <w:szCs w:val="27"/>
          <w:lang w:val="en-US" w:eastAsia="fr-FR"/>
        </w:rPr>
        <w:t xml:space="preserve">, D., </w:t>
      </w:r>
      <w:proofErr w:type="spellStart"/>
      <w:r w:rsidRPr="007F7FC7">
        <w:rPr>
          <w:rFonts w:ascii="Times New Roman" w:eastAsia="Times New Roman" w:hAnsi="Times New Roman" w:cs="Times New Roman"/>
          <w:color w:val="000000"/>
          <w:sz w:val="27"/>
          <w:szCs w:val="27"/>
          <w:lang w:val="en-US" w:eastAsia="fr-FR"/>
        </w:rPr>
        <w:t>Ventevogel</w:t>
      </w:r>
      <w:proofErr w:type="spellEnd"/>
      <w:r w:rsidRPr="007F7FC7">
        <w:rPr>
          <w:rFonts w:ascii="Times New Roman" w:eastAsia="Times New Roman" w:hAnsi="Times New Roman" w:cs="Times New Roman"/>
          <w:color w:val="000000"/>
          <w:sz w:val="27"/>
          <w:szCs w:val="27"/>
          <w:lang w:val="en-US" w:eastAsia="fr-FR"/>
        </w:rPr>
        <w:t>, P., &amp; Rees, S. (2017). The contemporary refugee crisis: an overview of mental health challenges. World psychiatry: official journal of the World Psychiatric Association (WPA), 16(2), 130–139.</w:t>
      </w:r>
    </w:p>
    <w:p w:rsidR="00FA6C4F" w:rsidRPr="007F7FC7" w:rsidRDefault="007F7FC7" w:rsidP="007F7FC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7F7FC7">
        <w:rPr>
          <w:rFonts w:ascii="Times New Roman" w:eastAsia="Times New Roman" w:hAnsi="Times New Roman" w:cs="Times New Roman"/>
          <w:color w:val="000000"/>
          <w:sz w:val="27"/>
          <w:szCs w:val="27"/>
          <w:lang w:val="en-US" w:eastAsia="fr-FR"/>
        </w:rPr>
        <w:t>Ungar</w:t>
      </w:r>
      <w:proofErr w:type="spellEnd"/>
      <w:r w:rsidRPr="007F7FC7">
        <w:rPr>
          <w:rFonts w:ascii="Times New Roman" w:eastAsia="Times New Roman" w:hAnsi="Times New Roman" w:cs="Times New Roman"/>
          <w:color w:val="000000"/>
          <w:sz w:val="27"/>
          <w:szCs w:val="27"/>
          <w:lang w:val="en-US" w:eastAsia="fr-FR"/>
        </w:rPr>
        <w:t xml:space="preserve">, M. (2011). The social ecology of resilience: addressing contextual and cultural ambiguity of a nascent construct. </w:t>
      </w:r>
      <w:r w:rsidRPr="007F7FC7">
        <w:rPr>
          <w:rFonts w:ascii="Times New Roman" w:eastAsia="Times New Roman" w:hAnsi="Times New Roman" w:cs="Times New Roman"/>
          <w:color w:val="000000"/>
          <w:sz w:val="27"/>
          <w:szCs w:val="27"/>
          <w:lang w:eastAsia="fr-FR"/>
        </w:rPr>
        <w:t xml:space="preserve">American journal of </w:t>
      </w:r>
      <w:proofErr w:type="spellStart"/>
      <w:r w:rsidRPr="007F7FC7">
        <w:rPr>
          <w:rFonts w:ascii="Times New Roman" w:eastAsia="Times New Roman" w:hAnsi="Times New Roman" w:cs="Times New Roman"/>
          <w:color w:val="000000"/>
          <w:sz w:val="27"/>
          <w:szCs w:val="27"/>
          <w:lang w:eastAsia="fr-FR"/>
        </w:rPr>
        <w:t>orthopsychiatry</w:t>
      </w:r>
      <w:proofErr w:type="spellEnd"/>
      <w:r w:rsidRPr="007F7FC7">
        <w:rPr>
          <w:rFonts w:ascii="Times New Roman" w:eastAsia="Times New Roman" w:hAnsi="Times New Roman" w:cs="Times New Roman"/>
          <w:color w:val="000000"/>
          <w:sz w:val="27"/>
          <w:szCs w:val="27"/>
          <w:lang w:eastAsia="fr-FR"/>
        </w:rPr>
        <w:t>, 81(1), 1.</w:t>
      </w:r>
      <w:bookmarkStart w:id="0" w:name="_GoBack"/>
      <w:bookmarkEnd w:id="0"/>
    </w:p>
    <w:sectPr w:rsidR="00FA6C4F" w:rsidRPr="007F7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1F74"/>
    <w:multiLevelType w:val="multilevel"/>
    <w:tmpl w:val="A6F4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260B6"/>
    <w:multiLevelType w:val="multilevel"/>
    <w:tmpl w:val="F816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50223"/>
    <w:multiLevelType w:val="multilevel"/>
    <w:tmpl w:val="712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E3EFD"/>
    <w:multiLevelType w:val="multilevel"/>
    <w:tmpl w:val="469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95"/>
    <w:rsid w:val="00160FD1"/>
    <w:rsid w:val="001705CB"/>
    <w:rsid w:val="005752CF"/>
    <w:rsid w:val="00653B71"/>
    <w:rsid w:val="006D5D95"/>
    <w:rsid w:val="007F7FC7"/>
    <w:rsid w:val="00840A1B"/>
    <w:rsid w:val="00AC4BDA"/>
    <w:rsid w:val="00AD566E"/>
    <w:rsid w:val="00B82E9C"/>
    <w:rsid w:val="00FA6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E9AFA-FC2D-40ED-84B9-3CD4BC49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752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3511">
      <w:bodyDiv w:val="1"/>
      <w:marLeft w:val="0"/>
      <w:marRight w:val="0"/>
      <w:marTop w:val="0"/>
      <w:marBottom w:val="0"/>
      <w:divBdr>
        <w:top w:val="none" w:sz="0" w:space="0" w:color="auto"/>
        <w:left w:val="none" w:sz="0" w:space="0" w:color="auto"/>
        <w:bottom w:val="none" w:sz="0" w:space="0" w:color="auto"/>
        <w:right w:val="none" w:sz="0" w:space="0" w:color="auto"/>
      </w:divBdr>
      <w:divsChild>
        <w:div w:id="511073644">
          <w:marLeft w:val="0"/>
          <w:marRight w:val="0"/>
          <w:marTop w:val="0"/>
          <w:marBottom w:val="0"/>
          <w:divBdr>
            <w:top w:val="none" w:sz="0" w:space="0" w:color="auto"/>
            <w:left w:val="none" w:sz="0" w:space="0" w:color="auto"/>
            <w:bottom w:val="none" w:sz="0" w:space="0" w:color="auto"/>
            <w:right w:val="none" w:sz="0" w:space="0" w:color="auto"/>
          </w:divBdr>
          <w:divsChild>
            <w:div w:id="482283058">
              <w:marLeft w:val="0"/>
              <w:marRight w:val="0"/>
              <w:marTop w:val="0"/>
              <w:marBottom w:val="0"/>
              <w:divBdr>
                <w:top w:val="none" w:sz="0" w:space="0" w:color="auto"/>
                <w:left w:val="none" w:sz="0" w:space="0" w:color="auto"/>
                <w:bottom w:val="none" w:sz="0" w:space="0" w:color="auto"/>
                <w:right w:val="none" w:sz="0" w:space="0" w:color="auto"/>
              </w:divBdr>
              <w:divsChild>
                <w:div w:id="13089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59966">
      <w:bodyDiv w:val="1"/>
      <w:marLeft w:val="0"/>
      <w:marRight w:val="0"/>
      <w:marTop w:val="0"/>
      <w:marBottom w:val="0"/>
      <w:divBdr>
        <w:top w:val="none" w:sz="0" w:space="0" w:color="auto"/>
        <w:left w:val="none" w:sz="0" w:space="0" w:color="auto"/>
        <w:bottom w:val="none" w:sz="0" w:space="0" w:color="auto"/>
        <w:right w:val="none" w:sz="0" w:space="0" w:color="auto"/>
      </w:divBdr>
      <w:divsChild>
        <w:div w:id="1541093177">
          <w:marLeft w:val="0"/>
          <w:marRight w:val="0"/>
          <w:marTop w:val="0"/>
          <w:marBottom w:val="0"/>
          <w:divBdr>
            <w:top w:val="none" w:sz="0" w:space="0" w:color="auto"/>
            <w:left w:val="none" w:sz="0" w:space="0" w:color="auto"/>
            <w:bottom w:val="none" w:sz="0" w:space="0" w:color="auto"/>
            <w:right w:val="none" w:sz="0" w:space="0" w:color="auto"/>
          </w:divBdr>
          <w:divsChild>
            <w:div w:id="413161871">
              <w:marLeft w:val="0"/>
              <w:marRight w:val="0"/>
              <w:marTop w:val="0"/>
              <w:marBottom w:val="0"/>
              <w:divBdr>
                <w:top w:val="none" w:sz="0" w:space="0" w:color="auto"/>
                <w:left w:val="none" w:sz="0" w:space="0" w:color="auto"/>
                <w:bottom w:val="none" w:sz="0" w:space="0" w:color="auto"/>
                <w:right w:val="none" w:sz="0" w:space="0" w:color="auto"/>
              </w:divBdr>
              <w:divsChild>
                <w:div w:id="1535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3438">
      <w:bodyDiv w:val="1"/>
      <w:marLeft w:val="0"/>
      <w:marRight w:val="0"/>
      <w:marTop w:val="0"/>
      <w:marBottom w:val="0"/>
      <w:divBdr>
        <w:top w:val="none" w:sz="0" w:space="0" w:color="auto"/>
        <w:left w:val="none" w:sz="0" w:space="0" w:color="auto"/>
        <w:bottom w:val="none" w:sz="0" w:space="0" w:color="auto"/>
        <w:right w:val="none" w:sz="0" w:space="0" w:color="auto"/>
      </w:divBdr>
      <w:divsChild>
        <w:div w:id="1549755050">
          <w:marLeft w:val="0"/>
          <w:marRight w:val="0"/>
          <w:marTop w:val="0"/>
          <w:marBottom w:val="0"/>
          <w:divBdr>
            <w:top w:val="none" w:sz="0" w:space="0" w:color="auto"/>
            <w:left w:val="none" w:sz="0" w:space="0" w:color="auto"/>
            <w:bottom w:val="none" w:sz="0" w:space="0" w:color="auto"/>
            <w:right w:val="none" w:sz="0" w:space="0" w:color="auto"/>
          </w:divBdr>
          <w:divsChild>
            <w:div w:id="1159887896">
              <w:marLeft w:val="0"/>
              <w:marRight w:val="0"/>
              <w:marTop w:val="0"/>
              <w:marBottom w:val="0"/>
              <w:divBdr>
                <w:top w:val="none" w:sz="0" w:space="0" w:color="auto"/>
                <w:left w:val="none" w:sz="0" w:space="0" w:color="auto"/>
                <w:bottom w:val="none" w:sz="0" w:space="0" w:color="auto"/>
                <w:right w:val="none" w:sz="0" w:space="0" w:color="auto"/>
              </w:divBdr>
              <w:divsChild>
                <w:div w:id="11924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143">
      <w:bodyDiv w:val="1"/>
      <w:marLeft w:val="0"/>
      <w:marRight w:val="0"/>
      <w:marTop w:val="0"/>
      <w:marBottom w:val="0"/>
      <w:divBdr>
        <w:top w:val="none" w:sz="0" w:space="0" w:color="auto"/>
        <w:left w:val="none" w:sz="0" w:space="0" w:color="auto"/>
        <w:bottom w:val="none" w:sz="0" w:space="0" w:color="auto"/>
        <w:right w:val="none" w:sz="0" w:space="0" w:color="auto"/>
      </w:divBdr>
      <w:divsChild>
        <w:div w:id="1967853183">
          <w:marLeft w:val="0"/>
          <w:marRight w:val="0"/>
          <w:marTop w:val="0"/>
          <w:marBottom w:val="0"/>
          <w:divBdr>
            <w:top w:val="none" w:sz="0" w:space="0" w:color="auto"/>
            <w:left w:val="none" w:sz="0" w:space="0" w:color="auto"/>
            <w:bottom w:val="none" w:sz="0" w:space="0" w:color="auto"/>
            <w:right w:val="none" w:sz="0" w:space="0" w:color="auto"/>
          </w:divBdr>
          <w:divsChild>
            <w:div w:id="1066300681">
              <w:marLeft w:val="0"/>
              <w:marRight w:val="0"/>
              <w:marTop w:val="0"/>
              <w:marBottom w:val="0"/>
              <w:divBdr>
                <w:top w:val="none" w:sz="0" w:space="0" w:color="auto"/>
                <w:left w:val="none" w:sz="0" w:space="0" w:color="auto"/>
                <w:bottom w:val="none" w:sz="0" w:space="0" w:color="auto"/>
                <w:right w:val="none" w:sz="0" w:space="0" w:color="auto"/>
              </w:divBdr>
              <w:divsChild>
                <w:div w:id="17854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5889">
      <w:bodyDiv w:val="1"/>
      <w:marLeft w:val="0"/>
      <w:marRight w:val="0"/>
      <w:marTop w:val="0"/>
      <w:marBottom w:val="0"/>
      <w:divBdr>
        <w:top w:val="none" w:sz="0" w:space="0" w:color="auto"/>
        <w:left w:val="none" w:sz="0" w:space="0" w:color="auto"/>
        <w:bottom w:val="none" w:sz="0" w:space="0" w:color="auto"/>
        <w:right w:val="none" w:sz="0" w:space="0" w:color="auto"/>
      </w:divBdr>
      <w:divsChild>
        <w:div w:id="383911951">
          <w:marLeft w:val="0"/>
          <w:marRight w:val="0"/>
          <w:marTop w:val="0"/>
          <w:marBottom w:val="0"/>
          <w:divBdr>
            <w:top w:val="none" w:sz="0" w:space="0" w:color="auto"/>
            <w:left w:val="none" w:sz="0" w:space="0" w:color="auto"/>
            <w:bottom w:val="none" w:sz="0" w:space="0" w:color="auto"/>
            <w:right w:val="none" w:sz="0" w:space="0" w:color="auto"/>
          </w:divBdr>
          <w:divsChild>
            <w:div w:id="1302226044">
              <w:marLeft w:val="0"/>
              <w:marRight w:val="0"/>
              <w:marTop w:val="0"/>
              <w:marBottom w:val="0"/>
              <w:divBdr>
                <w:top w:val="none" w:sz="0" w:space="0" w:color="auto"/>
                <w:left w:val="none" w:sz="0" w:space="0" w:color="auto"/>
                <w:bottom w:val="none" w:sz="0" w:space="0" w:color="auto"/>
                <w:right w:val="none" w:sz="0" w:space="0" w:color="auto"/>
              </w:divBdr>
              <w:divsChild>
                <w:div w:id="792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302">
      <w:bodyDiv w:val="1"/>
      <w:marLeft w:val="0"/>
      <w:marRight w:val="0"/>
      <w:marTop w:val="0"/>
      <w:marBottom w:val="0"/>
      <w:divBdr>
        <w:top w:val="none" w:sz="0" w:space="0" w:color="auto"/>
        <w:left w:val="none" w:sz="0" w:space="0" w:color="auto"/>
        <w:bottom w:val="none" w:sz="0" w:space="0" w:color="auto"/>
        <w:right w:val="none" w:sz="0" w:space="0" w:color="auto"/>
      </w:divBdr>
      <w:divsChild>
        <w:div w:id="144007630">
          <w:marLeft w:val="0"/>
          <w:marRight w:val="0"/>
          <w:marTop w:val="0"/>
          <w:marBottom w:val="0"/>
          <w:divBdr>
            <w:top w:val="none" w:sz="0" w:space="0" w:color="auto"/>
            <w:left w:val="none" w:sz="0" w:space="0" w:color="auto"/>
            <w:bottom w:val="none" w:sz="0" w:space="0" w:color="auto"/>
            <w:right w:val="none" w:sz="0" w:space="0" w:color="auto"/>
          </w:divBdr>
          <w:divsChild>
            <w:div w:id="2060857801">
              <w:marLeft w:val="0"/>
              <w:marRight w:val="0"/>
              <w:marTop w:val="0"/>
              <w:marBottom w:val="0"/>
              <w:divBdr>
                <w:top w:val="none" w:sz="0" w:space="0" w:color="auto"/>
                <w:left w:val="none" w:sz="0" w:space="0" w:color="auto"/>
                <w:bottom w:val="none" w:sz="0" w:space="0" w:color="auto"/>
                <w:right w:val="none" w:sz="0" w:space="0" w:color="auto"/>
              </w:divBdr>
              <w:divsChild>
                <w:div w:id="1741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36">
      <w:bodyDiv w:val="1"/>
      <w:marLeft w:val="0"/>
      <w:marRight w:val="0"/>
      <w:marTop w:val="0"/>
      <w:marBottom w:val="0"/>
      <w:divBdr>
        <w:top w:val="none" w:sz="0" w:space="0" w:color="auto"/>
        <w:left w:val="none" w:sz="0" w:space="0" w:color="auto"/>
        <w:bottom w:val="none" w:sz="0" w:space="0" w:color="auto"/>
        <w:right w:val="none" w:sz="0" w:space="0" w:color="auto"/>
      </w:divBdr>
      <w:divsChild>
        <w:div w:id="883834129">
          <w:marLeft w:val="0"/>
          <w:marRight w:val="0"/>
          <w:marTop w:val="0"/>
          <w:marBottom w:val="0"/>
          <w:divBdr>
            <w:top w:val="none" w:sz="0" w:space="0" w:color="auto"/>
            <w:left w:val="none" w:sz="0" w:space="0" w:color="auto"/>
            <w:bottom w:val="none" w:sz="0" w:space="0" w:color="auto"/>
            <w:right w:val="none" w:sz="0" w:space="0" w:color="auto"/>
          </w:divBdr>
          <w:divsChild>
            <w:div w:id="618142837">
              <w:marLeft w:val="0"/>
              <w:marRight w:val="0"/>
              <w:marTop w:val="0"/>
              <w:marBottom w:val="0"/>
              <w:divBdr>
                <w:top w:val="none" w:sz="0" w:space="0" w:color="auto"/>
                <w:left w:val="none" w:sz="0" w:space="0" w:color="auto"/>
                <w:bottom w:val="none" w:sz="0" w:space="0" w:color="auto"/>
                <w:right w:val="none" w:sz="0" w:space="0" w:color="auto"/>
              </w:divBdr>
              <w:divsChild>
                <w:div w:id="6795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7186">
      <w:bodyDiv w:val="1"/>
      <w:marLeft w:val="0"/>
      <w:marRight w:val="0"/>
      <w:marTop w:val="0"/>
      <w:marBottom w:val="0"/>
      <w:divBdr>
        <w:top w:val="none" w:sz="0" w:space="0" w:color="auto"/>
        <w:left w:val="none" w:sz="0" w:space="0" w:color="auto"/>
        <w:bottom w:val="none" w:sz="0" w:space="0" w:color="auto"/>
        <w:right w:val="none" w:sz="0" w:space="0" w:color="auto"/>
      </w:divBdr>
    </w:div>
    <w:div w:id="1439715004">
      <w:bodyDiv w:val="1"/>
      <w:marLeft w:val="0"/>
      <w:marRight w:val="0"/>
      <w:marTop w:val="0"/>
      <w:marBottom w:val="0"/>
      <w:divBdr>
        <w:top w:val="none" w:sz="0" w:space="0" w:color="auto"/>
        <w:left w:val="none" w:sz="0" w:space="0" w:color="auto"/>
        <w:bottom w:val="none" w:sz="0" w:space="0" w:color="auto"/>
        <w:right w:val="none" w:sz="0" w:space="0" w:color="auto"/>
      </w:divBdr>
      <w:divsChild>
        <w:div w:id="860121087">
          <w:marLeft w:val="0"/>
          <w:marRight w:val="0"/>
          <w:marTop w:val="0"/>
          <w:marBottom w:val="0"/>
          <w:divBdr>
            <w:top w:val="none" w:sz="0" w:space="0" w:color="auto"/>
            <w:left w:val="none" w:sz="0" w:space="0" w:color="auto"/>
            <w:bottom w:val="none" w:sz="0" w:space="0" w:color="auto"/>
            <w:right w:val="none" w:sz="0" w:space="0" w:color="auto"/>
          </w:divBdr>
          <w:divsChild>
            <w:div w:id="2098359535">
              <w:marLeft w:val="0"/>
              <w:marRight w:val="0"/>
              <w:marTop w:val="0"/>
              <w:marBottom w:val="0"/>
              <w:divBdr>
                <w:top w:val="none" w:sz="0" w:space="0" w:color="auto"/>
                <w:left w:val="none" w:sz="0" w:space="0" w:color="auto"/>
                <w:bottom w:val="none" w:sz="0" w:space="0" w:color="auto"/>
                <w:right w:val="none" w:sz="0" w:space="0" w:color="auto"/>
              </w:divBdr>
              <w:divsChild>
                <w:div w:id="1744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1391">
      <w:bodyDiv w:val="1"/>
      <w:marLeft w:val="0"/>
      <w:marRight w:val="0"/>
      <w:marTop w:val="0"/>
      <w:marBottom w:val="0"/>
      <w:divBdr>
        <w:top w:val="none" w:sz="0" w:space="0" w:color="auto"/>
        <w:left w:val="none" w:sz="0" w:space="0" w:color="auto"/>
        <w:bottom w:val="none" w:sz="0" w:space="0" w:color="auto"/>
        <w:right w:val="none" w:sz="0" w:space="0" w:color="auto"/>
      </w:divBdr>
    </w:div>
    <w:div w:id="1615743401">
      <w:bodyDiv w:val="1"/>
      <w:marLeft w:val="0"/>
      <w:marRight w:val="0"/>
      <w:marTop w:val="0"/>
      <w:marBottom w:val="0"/>
      <w:divBdr>
        <w:top w:val="none" w:sz="0" w:space="0" w:color="auto"/>
        <w:left w:val="none" w:sz="0" w:space="0" w:color="auto"/>
        <w:bottom w:val="none" w:sz="0" w:space="0" w:color="auto"/>
        <w:right w:val="none" w:sz="0" w:space="0" w:color="auto"/>
      </w:divBdr>
    </w:div>
    <w:div w:id="1657415713">
      <w:bodyDiv w:val="1"/>
      <w:marLeft w:val="0"/>
      <w:marRight w:val="0"/>
      <w:marTop w:val="0"/>
      <w:marBottom w:val="0"/>
      <w:divBdr>
        <w:top w:val="none" w:sz="0" w:space="0" w:color="auto"/>
        <w:left w:val="none" w:sz="0" w:space="0" w:color="auto"/>
        <w:bottom w:val="none" w:sz="0" w:space="0" w:color="auto"/>
        <w:right w:val="none" w:sz="0" w:space="0" w:color="auto"/>
      </w:divBdr>
      <w:divsChild>
        <w:div w:id="1313294851">
          <w:marLeft w:val="0"/>
          <w:marRight w:val="0"/>
          <w:marTop w:val="0"/>
          <w:marBottom w:val="0"/>
          <w:divBdr>
            <w:top w:val="none" w:sz="0" w:space="0" w:color="auto"/>
            <w:left w:val="none" w:sz="0" w:space="0" w:color="auto"/>
            <w:bottom w:val="none" w:sz="0" w:space="0" w:color="auto"/>
            <w:right w:val="none" w:sz="0" w:space="0" w:color="auto"/>
          </w:divBdr>
          <w:divsChild>
            <w:div w:id="1561987241">
              <w:marLeft w:val="0"/>
              <w:marRight w:val="0"/>
              <w:marTop w:val="0"/>
              <w:marBottom w:val="0"/>
              <w:divBdr>
                <w:top w:val="none" w:sz="0" w:space="0" w:color="auto"/>
                <w:left w:val="none" w:sz="0" w:space="0" w:color="auto"/>
                <w:bottom w:val="none" w:sz="0" w:space="0" w:color="auto"/>
                <w:right w:val="none" w:sz="0" w:space="0" w:color="auto"/>
              </w:divBdr>
              <w:divsChild>
                <w:div w:id="14717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8978">
      <w:bodyDiv w:val="1"/>
      <w:marLeft w:val="0"/>
      <w:marRight w:val="0"/>
      <w:marTop w:val="0"/>
      <w:marBottom w:val="0"/>
      <w:divBdr>
        <w:top w:val="none" w:sz="0" w:space="0" w:color="auto"/>
        <w:left w:val="none" w:sz="0" w:space="0" w:color="auto"/>
        <w:bottom w:val="none" w:sz="0" w:space="0" w:color="auto"/>
        <w:right w:val="none" w:sz="0" w:space="0" w:color="auto"/>
      </w:divBdr>
    </w:div>
    <w:div w:id="2062627057">
      <w:bodyDiv w:val="1"/>
      <w:marLeft w:val="0"/>
      <w:marRight w:val="0"/>
      <w:marTop w:val="0"/>
      <w:marBottom w:val="0"/>
      <w:divBdr>
        <w:top w:val="none" w:sz="0" w:space="0" w:color="auto"/>
        <w:left w:val="none" w:sz="0" w:space="0" w:color="auto"/>
        <w:bottom w:val="none" w:sz="0" w:space="0" w:color="auto"/>
        <w:right w:val="none" w:sz="0" w:space="0" w:color="auto"/>
      </w:divBdr>
      <w:divsChild>
        <w:div w:id="1384333516">
          <w:marLeft w:val="0"/>
          <w:marRight w:val="0"/>
          <w:marTop w:val="0"/>
          <w:marBottom w:val="0"/>
          <w:divBdr>
            <w:top w:val="none" w:sz="0" w:space="0" w:color="auto"/>
            <w:left w:val="none" w:sz="0" w:space="0" w:color="auto"/>
            <w:bottom w:val="none" w:sz="0" w:space="0" w:color="auto"/>
            <w:right w:val="none" w:sz="0" w:space="0" w:color="auto"/>
          </w:divBdr>
          <w:divsChild>
            <w:div w:id="540292195">
              <w:marLeft w:val="0"/>
              <w:marRight w:val="0"/>
              <w:marTop w:val="0"/>
              <w:marBottom w:val="0"/>
              <w:divBdr>
                <w:top w:val="none" w:sz="0" w:space="0" w:color="auto"/>
                <w:left w:val="none" w:sz="0" w:space="0" w:color="auto"/>
                <w:bottom w:val="none" w:sz="0" w:space="0" w:color="auto"/>
                <w:right w:val="none" w:sz="0" w:space="0" w:color="auto"/>
              </w:divBdr>
              <w:divsChild>
                <w:div w:id="1240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7758">
      <w:bodyDiv w:val="1"/>
      <w:marLeft w:val="0"/>
      <w:marRight w:val="0"/>
      <w:marTop w:val="0"/>
      <w:marBottom w:val="0"/>
      <w:divBdr>
        <w:top w:val="none" w:sz="0" w:space="0" w:color="auto"/>
        <w:left w:val="none" w:sz="0" w:space="0" w:color="auto"/>
        <w:bottom w:val="none" w:sz="0" w:space="0" w:color="auto"/>
        <w:right w:val="none" w:sz="0" w:space="0" w:color="auto"/>
      </w:divBdr>
      <w:divsChild>
        <w:div w:id="585966821">
          <w:marLeft w:val="0"/>
          <w:marRight w:val="0"/>
          <w:marTop w:val="0"/>
          <w:marBottom w:val="0"/>
          <w:divBdr>
            <w:top w:val="none" w:sz="0" w:space="0" w:color="auto"/>
            <w:left w:val="none" w:sz="0" w:space="0" w:color="auto"/>
            <w:bottom w:val="none" w:sz="0" w:space="0" w:color="auto"/>
            <w:right w:val="none" w:sz="0" w:space="0" w:color="auto"/>
          </w:divBdr>
          <w:divsChild>
            <w:div w:id="585311976">
              <w:marLeft w:val="0"/>
              <w:marRight w:val="0"/>
              <w:marTop w:val="0"/>
              <w:marBottom w:val="0"/>
              <w:divBdr>
                <w:top w:val="none" w:sz="0" w:space="0" w:color="auto"/>
                <w:left w:val="none" w:sz="0" w:space="0" w:color="auto"/>
                <w:bottom w:val="none" w:sz="0" w:space="0" w:color="auto"/>
                <w:right w:val="none" w:sz="0" w:space="0" w:color="auto"/>
              </w:divBdr>
              <w:divsChild>
                <w:div w:id="18601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6668</Words>
  <Characters>36675</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AIAC AGENCE D'INTERVENTION ET D'ACTION COMMUNAUTAIRE</dc:creator>
  <cp:keywords/>
  <dc:description/>
  <cp:lastModifiedBy>AIAC AGENCE D'INTERVENTION ET D'ACTION COMMUNAUTAIRE</cp:lastModifiedBy>
  <cp:revision>5</cp:revision>
  <dcterms:created xsi:type="dcterms:W3CDTF">2023-10-14T05:52:00Z</dcterms:created>
  <dcterms:modified xsi:type="dcterms:W3CDTF">2023-10-14T08:41:00Z</dcterms:modified>
</cp:coreProperties>
</file>